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0"/>
        <w:rPr>
          <w:rFonts w:hint="default" w:eastAsia="Malgun Gothic"/>
          <w:b/>
          <w:sz w:val="24"/>
          <w:szCs w:val="24"/>
          <w:lang w:val="en-US" w:eastAsia="zh-CN"/>
        </w:rPr>
      </w:pPr>
      <w:bookmarkStart w:id="0" w:name="OLE_LINK11"/>
      <w:r>
        <w:rPr>
          <w:rFonts w:hint="eastAsia"/>
          <w:b/>
          <w:sz w:val="24"/>
          <w:szCs w:val="24"/>
          <w:lang w:val="en-US"/>
        </w:rPr>
        <w:t>3GPP TSG-RAN WG3 #</w:t>
      </w:r>
      <w:r>
        <w:rPr>
          <w:rFonts w:hint="eastAsia" w:eastAsia="宋体"/>
          <w:b/>
          <w:sz w:val="24"/>
          <w:szCs w:val="24"/>
          <w:lang w:val="en-US" w:eastAsia="zh-CN"/>
        </w:rPr>
        <w:t>1</w:t>
      </w:r>
      <w:r>
        <w:rPr>
          <w:rFonts w:hint="eastAsia"/>
          <w:b/>
          <w:sz w:val="24"/>
          <w:szCs w:val="24"/>
          <w:lang w:val="en-US" w:eastAsia="zh-CN"/>
        </w:rPr>
        <w:t>14</w:t>
      </w:r>
      <w:r>
        <w:rPr>
          <w:rFonts w:hint="eastAsia" w:eastAsia="宋体"/>
          <w:b/>
          <w:sz w:val="24"/>
          <w:szCs w:val="24"/>
          <w:lang w:val="en-US" w:eastAsia="zh-CN"/>
        </w:rPr>
        <w:t xml:space="preserve">-e     </w:t>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eastAsia="zh-CN"/>
        </w:rPr>
        <w:t xml:space="preserve">                                                    </w:t>
      </w:r>
      <w:r>
        <w:rPr>
          <w:rFonts w:hint="eastAsia"/>
          <w:b/>
          <w:sz w:val="24"/>
          <w:szCs w:val="24"/>
          <w:lang w:val="en-US"/>
        </w:rPr>
        <w:t>R3-</w:t>
      </w:r>
      <w:r>
        <w:rPr>
          <w:rFonts w:hint="eastAsia"/>
          <w:b/>
          <w:sz w:val="24"/>
          <w:szCs w:val="24"/>
          <w:lang w:val="en-US" w:eastAsia="zh-CN"/>
        </w:rPr>
        <w:t>215772</w:t>
      </w:r>
    </w:p>
    <w:p>
      <w:pPr>
        <w:numPr>
          <w:ilvl w:val="0"/>
          <w:numId w:val="0"/>
        </w:numPr>
        <w:overflowPunct w:val="0"/>
        <w:autoSpaceDE w:val="0"/>
        <w:spacing w:after="0" w:line="240" w:lineRule="auto"/>
        <w:jc w:val="both"/>
        <w:textAlignment w:val="baseline"/>
        <w:rPr>
          <w:rFonts w:hint="eastAsia" w:ascii="Arial" w:hAnsi="Arial" w:eastAsia="宋体" w:cs="Arial"/>
          <w:b/>
          <w:bCs/>
          <w:color w:val="000000"/>
          <w:sz w:val="24"/>
          <w:szCs w:val="24"/>
          <w:lang w:eastAsia="zh-CN"/>
        </w:rPr>
      </w:pPr>
      <w:r>
        <w:rPr>
          <w:rFonts w:hint="eastAsia" w:ascii="Arial" w:hAnsi="Arial" w:cs="Arial"/>
          <w:b/>
          <w:bCs/>
          <w:color w:val="000000"/>
          <w:sz w:val="24"/>
          <w:szCs w:val="24"/>
          <w:lang w:val="en-US" w:eastAsia="zh-CN"/>
        </w:rPr>
        <w:t>1-11 Aug</w:t>
      </w:r>
      <w:r>
        <w:rPr>
          <w:rFonts w:ascii="Arial" w:hAnsi="Arial" w:eastAsia="Batang" w:cs="Arial"/>
          <w:b/>
          <w:bCs/>
          <w:color w:val="000000"/>
          <w:sz w:val="24"/>
          <w:szCs w:val="24"/>
        </w:rPr>
        <w:t xml:space="preserve"> 202</w:t>
      </w:r>
      <w:r>
        <w:rPr>
          <w:rFonts w:hint="eastAsia" w:ascii="Arial" w:hAnsi="Arial" w:eastAsia="宋体" w:cs="Arial"/>
          <w:b/>
          <w:bCs/>
          <w:color w:val="000000"/>
          <w:sz w:val="24"/>
          <w:szCs w:val="24"/>
          <w:lang w:val="en-US" w:eastAsia="zh-CN"/>
        </w:rPr>
        <w:t>1</w:t>
      </w:r>
    </w:p>
    <w:p>
      <w:pPr>
        <w:pStyle w:val="40"/>
        <w:rPr>
          <w:rFonts w:hint="eastAsia" w:eastAsia="宋体"/>
          <w:b/>
          <w:sz w:val="24"/>
          <w:szCs w:val="24"/>
          <w:lang w:val="en-US" w:eastAsia="zh-CN"/>
        </w:rPr>
      </w:pPr>
      <w:r>
        <w:rPr>
          <w:rFonts w:hint="eastAsia" w:cs="Arial"/>
          <w:b/>
          <w:bCs/>
          <w:color w:val="000000"/>
          <w:sz w:val="24"/>
          <w:szCs w:val="24"/>
          <w:lang w:val="en-US" w:eastAsia="zh-CN"/>
        </w:rPr>
        <w:t>Online</w:t>
      </w:r>
      <w:r>
        <w:rPr>
          <w:rFonts w:hint="eastAsia"/>
          <w:b/>
          <w:sz w:val="24"/>
          <w:szCs w:val="24"/>
          <w:lang w:val="en-US"/>
        </w:rPr>
        <w:t xml:space="preserve">  </w:t>
      </w:r>
      <w:r>
        <w:rPr>
          <w:rFonts w:hint="eastAsia" w:eastAsia="宋体"/>
          <w:b/>
          <w:sz w:val="24"/>
          <w:szCs w:val="24"/>
          <w:lang w:val="en-US" w:eastAsia="zh-CN"/>
        </w:rPr>
        <w:t xml:space="preserve"> </w:t>
      </w:r>
    </w:p>
    <w:bookmarkEnd w:id="0"/>
    <w:p>
      <w:pPr>
        <w:tabs>
          <w:tab w:val="left" w:pos="1980"/>
        </w:tabs>
        <w:rPr>
          <w:rFonts w:ascii="Arial" w:hAnsi="Arial"/>
          <w:b/>
          <w:sz w:val="24"/>
          <w:lang w:val="it-IT"/>
        </w:rPr>
      </w:pPr>
    </w:p>
    <w:p>
      <w:pPr>
        <w:tabs>
          <w:tab w:val="left" w:pos="1980"/>
        </w:tabs>
        <w:rPr>
          <w:rFonts w:hint="default"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Pr>
          <w:rFonts w:hint="eastAsia" w:ascii="Arial" w:hAnsi="Arial"/>
          <w:sz w:val="24"/>
          <w:lang w:val="en-US" w:eastAsia="zh-CN"/>
        </w:rPr>
        <w:t>10.2.2</w:t>
      </w:r>
    </w:p>
    <w:p>
      <w:pPr>
        <w:tabs>
          <w:tab w:val="left" w:pos="1985"/>
        </w:tabs>
        <w:rPr>
          <w:rFonts w:hint="default" w:ascii="Arial" w:hAnsi="Arial" w:eastAsia="宋体"/>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r>
        <w:rPr>
          <w:rFonts w:hint="eastAsia" w:ascii="Arial" w:hAnsi="Arial"/>
          <w:sz w:val="24"/>
          <w:lang w:val="en-US" w:eastAsia="zh-CN"/>
        </w:rPr>
        <w:t>, China Telecom, China Unicom, Lenovo, Motorola Mobility</w:t>
      </w:r>
    </w:p>
    <w:p>
      <w:pPr>
        <w:tabs>
          <w:tab w:val="left" w:pos="1985"/>
        </w:tabs>
        <w:ind w:left="1980" w:hanging="1980"/>
        <w:rPr>
          <w:rFonts w:hint="default"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Further  Discussion on Coverage and Capacity Optimization in NR</w:t>
      </w:r>
    </w:p>
    <w:p>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hint="eastAsia" w:ascii="Arial" w:hAnsi="Arial"/>
          <w:sz w:val="24"/>
          <w:lang w:val="en-US" w:eastAsia="zh-CN"/>
        </w:rPr>
        <w:t>Discussion and Approval</w:t>
      </w:r>
    </w:p>
    <w:p>
      <w:pPr>
        <w:pStyle w:val="2"/>
      </w:pPr>
      <w:r>
        <w:t>Introduction</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ascii="Calibri" w:hAnsi="Calibri" w:cs="Calibri"/>
          <w:i/>
          <w:color w:val="FF0000"/>
          <w:sz w:val="16"/>
          <w:szCs w:val="16"/>
        </w:rPr>
      </w:pPr>
      <w:r>
        <w:rPr>
          <w:rFonts w:hint="eastAsia"/>
          <w:lang w:val="en-US" w:eastAsia="zh-CN"/>
        </w:rPr>
        <w:t xml:space="preserve">In the previous meeting, Coverage and Capacity Optimization (CCO) in NR has been discussed, and some agreements were reached. </w:t>
      </w:r>
      <w:r>
        <w:rPr>
          <w:rFonts w:hint="eastAsia"/>
          <w:sz w:val="20"/>
          <w:szCs w:val="20"/>
          <w:lang w:val="en-US" w:eastAsia="zh-CN"/>
        </w:rPr>
        <w:t>In addition to the agreements above, some issues need to be discussed further.</w:t>
      </w:r>
    </w:p>
    <w:p>
      <w:pPr>
        <w:rPr>
          <w:rFonts w:cs="Calibri"/>
          <w:color w:val="008000"/>
          <w:sz w:val="18"/>
          <w:szCs w:val="18"/>
        </w:rPr>
      </w:pPr>
      <w:r>
        <w:rPr>
          <w:rFonts w:cs="Calibri"/>
          <w:color w:val="008000"/>
          <w:sz w:val="18"/>
          <w:szCs w:val="18"/>
        </w:rPr>
        <w:t xml:space="preserve">WA: gNB-DU makes the final decision on which coverage configuration to use (since the gNB-DU is the only one who knows the resource situation). The CCO coverage configuration decided by the gNB-DU shall respect coverage configuration parameters limitations provided by the OAM. </w:t>
      </w:r>
    </w:p>
    <w:p>
      <w:pPr>
        <w:rPr>
          <w:rFonts w:cs="Calibri"/>
          <w:color w:val="008000"/>
          <w:sz w:val="18"/>
          <w:szCs w:val="18"/>
        </w:rPr>
      </w:pPr>
      <w:r>
        <w:rPr>
          <w:rFonts w:cs="Calibri"/>
          <w:color w:val="008000"/>
          <w:sz w:val="18"/>
          <w:szCs w:val="18"/>
        </w:rPr>
        <w:t>The above WA supersedes the following WA “WA: DU makes the final decision on which coverage configuration to use (since the DU is the only one who knows the resource situation)”</w:t>
      </w:r>
    </w:p>
    <w:p>
      <w:pPr>
        <w:rPr>
          <w:rFonts w:cs="Calibri"/>
          <w:color w:val="008000"/>
          <w:sz w:val="18"/>
          <w:szCs w:val="18"/>
        </w:rPr>
      </w:pPr>
      <w:r>
        <w:rPr>
          <w:rFonts w:cs="Calibri"/>
          <w:color w:val="008000"/>
          <w:sz w:val="18"/>
          <w:szCs w:val="18"/>
        </w:rPr>
        <w:t xml:space="preserve">A RAN node receiving an indication of a CCO configuration change from a neighbour/connected RAN node, may be free to take matching CCO actions and signal the result of such actions to its neighbour/connected RAN nodes. </w:t>
      </w:r>
    </w:p>
    <w:p>
      <w:pPr>
        <w:rPr>
          <w:rFonts w:cs="Calibri"/>
          <w:color w:val="0000FF"/>
          <w:sz w:val="18"/>
          <w:szCs w:val="18"/>
        </w:rPr>
      </w:pPr>
      <w:r>
        <w:rPr>
          <w:rFonts w:cs="Calibri"/>
          <w:color w:val="0000FF"/>
          <w:sz w:val="18"/>
          <w:szCs w:val="18"/>
        </w:rPr>
        <w:t>It is FFS whether there is any configuration from OAM regarding the CCO configuration a Cell A can take, in case a neighbour Cell B adopts a given CCO configuration.</w:t>
      </w:r>
    </w:p>
    <w:p>
      <w:pPr>
        <w:rPr>
          <w:rFonts w:cs="Calibri"/>
          <w:color w:val="008000"/>
          <w:sz w:val="18"/>
          <w:szCs w:val="18"/>
        </w:rPr>
      </w:pPr>
      <w:r>
        <w:rPr>
          <w:rFonts w:cs="Calibri"/>
          <w:color w:val="0000FF"/>
          <w:sz w:val="18"/>
          <w:szCs w:val="18"/>
        </w:rPr>
        <w:t>To be continued...</w:t>
      </w:r>
    </w:p>
    <w:p>
      <w:pPr>
        <w:rPr>
          <w:rFonts w:cs="Calibri"/>
          <w:color w:val="008000"/>
          <w:sz w:val="18"/>
          <w:szCs w:val="18"/>
        </w:rPr>
      </w:pPr>
      <w:r>
        <w:rPr>
          <w:rFonts w:cs="Calibri"/>
          <w:color w:val="008000"/>
          <w:sz w:val="18"/>
          <w:szCs w:val="18"/>
        </w:rPr>
        <w:t>So far, the identified CCO use cases include the cell edge capacity, coverage, FFS on other use cases.</w:t>
      </w:r>
    </w:p>
    <w:p>
      <w:pPr>
        <w:rPr>
          <w:rFonts w:cs="Calibri"/>
          <w:color w:val="008000"/>
          <w:sz w:val="18"/>
          <w:szCs w:val="18"/>
        </w:rPr>
      </w:pPr>
      <w:r>
        <w:rPr>
          <w:rFonts w:cs="Calibri"/>
          <w:color w:val="008000"/>
          <w:sz w:val="18"/>
          <w:szCs w:val="18"/>
        </w:rPr>
        <w:t>It is proposed that the gNB-CU signals to the gNB-DU at least the type of issue (e.g., coverage, cell edge capacity) and the cells affected by it over F1</w:t>
      </w:r>
    </w:p>
    <w:p>
      <w:pPr>
        <w:rPr>
          <w:rFonts w:cs="Calibri"/>
          <w:color w:val="0000FF"/>
          <w:sz w:val="18"/>
          <w:szCs w:val="18"/>
        </w:rPr>
      </w:pPr>
      <w:r>
        <w:rPr>
          <w:rFonts w:cs="Calibri"/>
          <w:color w:val="0000FF"/>
          <w:sz w:val="18"/>
          <w:szCs w:val="18"/>
        </w:rPr>
        <w:t>It is FFS whether the gNB-CU provides the coverage modification suggestions to the gNB-DU</w:t>
      </w:r>
    </w:p>
    <w:p>
      <w:pPr>
        <w:rPr>
          <w:rFonts w:cs="Calibri"/>
          <w:color w:val="0000FF"/>
          <w:sz w:val="18"/>
          <w:szCs w:val="18"/>
        </w:rPr>
      </w:pPr>
      <w:r>
        <w:rPr>
          <w:rFonts w:cs="Calibri"/>
          <w:color w:val="0000FF"/>
          <w:sz w:val="18"/>
          <w:szCs w:val="18"/>
        </w:rPr>
        <w:t xml:space="preserve">Agree to the optional presence of an SSB Beam Coverage State per SSB beam, as part of the information signalled by a gNB-DU/RAN node to notify of a change of coverage state? </w:t>
      </w:r>
    </w:p>
    <w:p>
      <w:pPr>
        <w:rPr>
          <w:rFonts w:cs="Calibri"/>
          <w:color w:val="0000FF"/>
          <w:sz w:val="18"/>
          <w:szCs w:val="18"/>
        </w:rPr>
      </w:pPr>
      <w:r>
        <w:rPr>
          <w:rFonts w:cs="Calibri"/>
          <w:color w:val="0000FF"/>
          <w:sz w:val="18"/>
          <w:szCs w:val="18"/>
        </w:rPr>
        <w:t>Continue discussions on inclusion of UL measurements in the Resource Status Update signalling from gNB-DU to gNB-CU</w:t>
      </w:r>
    </w:p>
    <w:p>
      <w:pPr>
        <w:rPr>
          <w:rFonts w:cs="Calibri"/>
          <w:color w:val="0000FF"/>
          <w:sz w:val="18"/>
          <w:szCs w:val="18"/>
        </w:rPr>
      </w:pPr>
      <w:r>
        <w:rPr>
          <w:rFonts w:cs="Calibri"/>
          <w:color w:val="0000FF"/>
          <w:sz w:val="18"/>
          <w:szCs w:val="18"/>
        </w:rPr>
        <w:t xml:space="preserve">Measurements proposed are </w:t>
      </w:r>
    </w:p>
    <w:p>
      <w:pPr>
        <w:numPr>
          <w:ilvl w:val="0"/>
          <w:numId w:val="11"/>
        </w:numPr>
        <w:spacing w:before="100" w:beforeAutospacing="1" w:after="120" w:line="240" w:lineRule="auto"/>
        <w:rPr>
          <w:rFonts w:cs="Calibri"/>
          <w:color w:val="0000FF"/>
          <w:sz w:val="18"/>
          <w:szCs w:val="18"/>
        </w:rPr>
      </w:pPr>
      <w:r>
        <w:rPr>
          <w:rFonts w:cs="Calibri"/>
          <w:color w:val="0000FF"/>
          <w:sz w:val="18"/>
          <w:szCs w:val="18"/>
        </w:rPr>
        <w:t>UL SINR</w:t>
      </w:r>
    </w:p>
    <w:p>
      <w:pPr>
        <w:numPr>
          <w:ilvl w:val="0"/>
          <w:numId w:val="11"/>
        </w:numPr>
        <w:spacing w:before="100" w:beforeAutospacing="1" w:after="120" w:line="240" w:lineRule="auto"/>
        <w:rPr>
          <w:rFonts w:cs="Calibri"/>
          <w:color w:val="0000FF"/>
          <w:sz w:val="18"/>
          <w:szCs w:val="18"/>
        </w:rPr>
      </w:pPr>
      <w:r>
        <w:rPr>
          <w:rFonts w:cs="Calibri"/>
          <w:color w:val="0000FF"/>
          <w:sz w:val="18"/>
          <w:szCs w:val="18"/>
        </w:rPr>
        <w:t>UL Interference Levels</w:t>
      </w:r>
    </w:p>
    <w:p>
      <w:pPr>
        <w:numPr>
          <w:ilvl w:val="0"/>
          <w:numId w:val="11"/>
        </w:numPr>
        <w:spacing w:before="100" w:beforeAutospacing="1" w:after="120" w:line="240" w:lineRule="auto"/>
        <w:rPr>
          <w:rFonts w:cs="Calibri"/>
          <w:color w:val="0000FF"/>
          <w:sz w:val="18"/>
          <w:szCs w:val="18"/>
        </w:rPr>
      </w:pPr>
      <w:r>
        <w:rPr>
          <w:rFonts w:cs="Calibri"/>
          <w:color w:val="0000FF"/>
          <w:sz w:val="18"/>
          <w:szCs w:val="18"/>
        </w:rPr>
        <w:t>UL Signal level</w:t>
      </w:r>
    </w:p>
    <w:p>
      <w:pPr>
        <w:widowControl w:val="0"/>
        <w:rPr>
          <w:rFonts w:cs="Calibri"/>
          <w:color w:val="0000FF"/>
          <w:sz w:val="18"/>
          <w:szCs w:val="18"/>
        </w:rPr>
      </w:pPr>
      <w:r>
        <w:rPr>
          <w:rFonts w:cs="Calibri"/>
          <w:color w:val="0000FF"/>
          <w:sz w:val="18"/>
          <w:szCs w:val="18"/>
        </w:rPr>
        <w:t>To be continued...</w:t>
      </w:r>
    </w:p>
    <w:p>
      <w:pPr>
        <w:rPr>
          <w:rFonts w:cs="Calibri"/>
          <w:color w:val="008000"/>
          <w:sz w:val="18"/>
          <w:szCs w:val="18"/>
        </w:rPr>
      </w:pPr>
      <w:r>
        <w:rPr>
          <w:rFonts w:cs="Calibri"/>
          <w:color w:val="0000FF"/>
          <w:sz w:val="18"/>
          <w:szCs w:val="18"/>
        </w:rPr>
        <w:t>The need for extra measurements, that could reveal not only UL but also DL coverage issues to be solved by means of CCO, will be discussed at the next meeting</w:t>
      </w:r>
    </w:p>
    <w:p>
      <w:pPr>
        <w:pStyle w:val="32"/>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sz w:val="20"/>
          <w:szCs w:val="20"/>
          <w:lang w:val="en-US" w:eastAsia="zh-CN"/>
        </w:rPr>
      </w:pPr>
      <w:r>
        <w:rPr>
          <w:rFonts w:hint="eastAsia"/>
          <w:sz w:val="20"/>
          <w:szCs w:val="20"/>
          <w:lang w:val="en-US" w:eastAsia="zh-CN"/>
        </w:rPr>
        <w:t>In this  contribution, we will further discuss the remaining open issues.</w:t>
      </w:r>
    </w:p>
    <w:p>
      <w:pPr>
        <w:pStyle w:val="2"/>
      </w:pPr>
      <w:r>
        <w:rPr>
          <w:rFonts w:hint="eastAsia"/>
          <w:lang w:val="en-US" w:eastAsia="zh-CN"/>
        </w:rPr>
        <w:t>Discussion</w:t>
      </w:r>
    </w:p>
    <w:p>
      <w:pPr>
        <w:pStyle w:val="3"/>
        <w:bidi w:val="0"/>
        <w:rPr>
          <w:rFonts w:hint="eastAsia"/>
          <w:lang w:val="en-US" w:eastAsia="zh-CN"/>
        </w:rPr>
      </w:pPr>
      <w:r>
        <w:rPr>
          <w:rFonts w:hint="eastAsia"/>
          <w:lang w:val="en-US" w:eastAsia="zh-CN"/>
        </w:rPr>
        <w:t>CCO Configuration from OAM</w:t>
      </w:r>
    </w:p>
    <w:p>
      <w:pPr>
        <w:rPr>
          <w:rFonts w:hint="eastAsia"/>
          <w:lang w:val="en-US" w:eastAsia="zh-CN"/>
        </w:rPr>
      </w:pPr>
      <w:r>
        <w:rPr>
          <w:rFonts w:hint="eastAsia"/>
          <w:lang w:val="en-US" w:eastAsia="zh-CN"/>
        </w:rPr>
        <w:t>In LTE, it OAM defines a set of alternative coverage configurations to be used for cells served by a node. After checking the SA5 specification in LTE, the corresponding CCO configuration parameter defined  in TS 32.762 is shown as below.</w:t>
      </w:r>
    </w:p>
    <w:p>
      <w:pPr>
        <w:rPr>
          <w:rFonts w:hint="eastAsia"/>
          <w:lang w:val="en-US" w:eastAsia="zh-CN"/>
        </w:rPr>
      </w:pPr>
      <w:r>
        <w:rPr>
          <w:rFonts w:hint="eastAsia"/>
          <w:lang w:val="en-US" w:eastAsia="zh-CN"/>
        </w:rPr>
        <w:t>-----------------------------------------------------------------TS 32.762----------------------------------------------------------------</w:t>
      </w:r>
    </w:p>
    <w:p>
      <w:pPr>
        <w:pStyle w:val="4"/>
        <w:numPr>
          <w:ilvl w:val="2"/>
          <w:numId w:val="0"/>
        </w:numPr>
        <w:tabs>
          <w:tab w:val="clear" w:pos="720"/>
        </w:tabs>
        <w:ind w:leftChars="0"/>
        <w:rPr>
          <w:lang w:eastAsia="zh-CN"/>
        </w:rPr>
      </w:pPr>
      <w:bookmarkStart w:id="3" w:name="_Toc350957594"/>
      <w:r>
        <w:rPr>
          <w:lang w:eastAsia="zh-CN"/>
        </w:rPr>
        <w:t>6</w:t>
      </w:r>
      <w:r>
        <w:t>.3.</w:t>
      </w:r>
      <w:r>
        <w:rPr>
          <w:lang w:val="en-US"/>
        </w:rPr>
        <w:t>26</w:t>
      </w:r>
      <w:r>
        <w:tab/>
      </w:r>
      <w:bookmarkEnd w:id="3"/>
      <w:r>
        <w:rPr>
          <w:rFonts w:ascii="Courier New" w:hAnsi="Courier New" w:cs="Courier New"/>
          <w:lang w:val="en-US"/>
        </w:rPr>
        <w:t>CCO</w:t>
      </w:r>
      <w:r>
        <w:rPr>
          <w:rFonts w:ascii="Courier New" w:hAnsi="Courier New" w:cs="Courier New"/>
          <w:lang w:eastAsia="zh-CN"/>
        </w:rPr>
        <w:t>Information</w:t>
      </w:r>
    </w:p>
    <w:p>
      <w:pPr>
        <w:pStyle w:val="5"/>
        <w:rPr>
          <w:rFonts w:hint="eastAsia"/>
          <w:lang w:eastAsia="zh-CN"/>
        </w:rPr>
      </w:pPr>
      <w:bookmarkStart w:id="4" w:name="_Toc350957595"/>
      <w:r>
        <w:rPr>
          <w:lang w:eastAsia="zh-CN"/>
        </w:rPr>
        <w:t>6</w:t>
      </w:r>
      <w:r>
        <w:t>.3.</w:t>
      </w:r>
      <w:r>
        <w:rPr>
          <w:lang w:val="en-US" w:eastAsia="zh-CN"/>
        </w:rPr>
        <w:t>26</w:t>
      </w:r>
      <w:r>
        <w:t>.1</w:t>
      </w:r>
      <w:r>
        <w:tab/>
      </w:r>
      <w:r>
        <w:t>Definition</w:t>
      </w:r>
      <w:bookmarkEnd w:id="4"/>
    </w:p>
    <w:p>
      <w:pPr>
        <w:rPr>
          <w:lang w:eastAsia="zh-CN"/>
        </w:rPr>
      </w:pPr>
      <w:r>
        <w:t xml:space="preserve">This IOC </w:t>
      </w:r>
      <w:r>
        <w:rPr>
          <w:rFonts w:hint="eastAsia"/>
          <w:lang w:eastAsia="zh-CN"/>
        </w:rPr>
        <w:t xml:space="preserve">represents </w:t>
      </w:r>
      <w:r>
        <w:rPr>
          <w:lang w:eastAsia="zh-CN"/>
        </w:rPr>
        <w:t xml:space="preserve">information relevant in case of a Capacity and Coverage Optimization taking place. </w:t>
      </w:r>
    </w:p>
    <w:p>
      <w:pPr>
        <w:pStyle w:val="5"/>
        <w:rPr>
          <w:rFonts w:hint="eastAsia"/>
          <w:lang w:eastAsia="zh-CN"/>
        </w:rPr>
      </w:pPr>
      <w:bookmarkStart w:id="5" w:name="_Toc350957596"/>
      <w:r>
        <w:rPr>
          <w:lang w:eastAsia="zh-CN"/>
        </w:rPr>
        <w:t>6</w:t>
      </w:r>
      <w:r>
        <w:t>.3.</w:t>
      </w:r>
      <w:r>
        <w:rPr>
          <w:lang w:val="en-US" w:eastAsia="zh-CN"/>
        </w:rPr>
        <w:t>26</w:t>
      </w:r>
      <w:r>
        <w:t>.2</w:t>
      </w:r>
      <w:r>
        <w:tab/>
      </w:r>
      <w:r>
        <w:t>Attributes</w:t>
      </w:r>
      <w:bookmarkEnd w:id="5"/>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7"/>
        <w:gridCol w:w="1687"/>
        <w:gridCol w:w="1437"/>
        <w:gridCol w:w="1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shd w:val="pct10" w:color="auto" w:fill="FFFFFF"/>
            <w:noWrap w:val="0"/>
            <w:vAlign w:val="bottom"/>
          </w:tcPr>
          <w:p>
            <w:pPr>
              <w:pStyle w:val="77"/>
            </w:pPr>
            <w:r>
              <w:t>Attribute name</w:t>
            </w:r>
          </w:p>
        </w:tc>
        <w:tc>
          <w:tcPr>
            <w:tcW w:w="0" w:type="auto"/>
            <w:shd w:val="pct10" w:color="auto" w:fill="FFFFFF"/>
            <w:noWrap w:val="0"/>
            <w:vAlign w:val="bottom"/>
          </w:tcPr>
          <w:p>
            <w:pPr>
              <w:pStyle w:val="77"/>
            </w:pPr>
            <w:r>
              <w:t>Support Qualifier</w:t>
            </w:r>
          </w:p>
        </w:tc>
        <w:tc>
          <w:tcPr>
            <w:tcW w:w="0" w:type="auto"/>
            <w:shd w:val="pct10" w:color="auto" w:fill="FFFFFF"/>
            <w:noWrap w:val="0"/>
            <w:vAlign w:val="bottom"/>
          </w:tcPr>
          <w:p>
            <w:pPr>
              <w:pStyle w:val="77"/>
            </w:pPr>
            <w:r>
              <w:t>Read Qualifier</w:t>
            </w:r>
          </w:p>
        </w:tc>
        <w:tc>
          <w:tcPr>
            <w:tcW w:w="0" w:type="auto"/>
            <w:shd w:val="pct10" w:color="auto" w:fill="FFFFFF"/>
            <w:noWrap w:val="0"/>
            <w:vAlign w:val="bottom"/>
          </w:tcPr>
          <w:p>
            <w:pPr>
              <w:pStyle w:val="77"/>
            </w:pPr>
            <w:r>
              <w:t>Write Qualifier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pStyle w:val="63"/>
              <w:rPr>
                <w:rFonts w:ascii="Courier New" w:hAnsi="Courier New" w:cs="Courier New"/>
                <w:lang w:eastAsia="zh-CN"/>
              </w:rPr>
            </w:pPr>
            <w:r>
              <w:rPr>
                <w:rFonts w:ascii="Courier New" w:hAnsi="Courier New" w:cs="Courier New"/>
                <w:lang w:eastAsia="zh-CN"/>
              </w:rPr>
              <w:t>cCOStatus</w:t>
            </w:r>
          </w:p>
        </w:tc>
        <w:tc>
          <w:tcPr>
            <w:tcW w:w="0" w:type="auto"/>
            <w:noWrap w:val="0"/>
            <w:vAlign w:val="top"/>
          </w:tcPr>
          <w:p>
            <w:pPr>
              <w:pStyle w:val="63"/>
              <w:jc w:val="center"/>
              <w:rPr>
                <w:rFonts w:cs="Arial"/>
                <w:lang w:eastAsia="zh-CN"/>
              </w:rPr>
            </w:pPr>
            <w:r>
              <w:rPr>
                <w:rFonts w:cs="Arial"/>
                <w:lang w:eastAsia="zh-CN"/>
              </w:rPr>
              <w:t>M</w:t>
            </w:r>
          </w:p>
        </w:tc>
        <w:tc>
          <w:tcPr>
            <w:tcW w:w="0" w:type="auto"/>
            <w:noWrap w:val="0"/>
            <w:vAlign w:val="top"/>
          </w:tcPr>
          <w:p>
            <w:pPr>
              <w:pStyle w:val="63"/>
              <w:jc w:val="center"/>
              <w:rPr>
                <w:rFonts w:cs="Arial"/>
              </w:rPr>
            </w:pPr>
            <w:r>
              <w:rPr>
                <w:rFonts w:cs="Arial"/>
              </w:rPr>
              <w:t>M</w:t>
            </w:r>
          </w:p>
        </w:tc>
        <w:tc>
          <w:tcPr>
            <w:tcW w:w="0" w:type="auto"/>
            <w:noWrap w:val="0"/>
            <w:vAlign w:val="top"/>
          </w:tcPr>
          <w:p>
            <w:pPr>
              <w:pStyle w:val="63"/>
              <w:jc w:val="center"/>
              <w:rPr>
                <w:rFonts w:cs="Arial"/>
              </w:rPr>
            </w:pPr>
            <w:r>
              <w:rPr>
                <w:rFonts w:cs="Arial"/>
              </w:rPr>
              <w:t>CM</w:t>
            </w:r>
          </w:p>
        </w:tc>
      </w:tr>
    </w:tbl>
    <w:p>
      <w:pPr>
        <w:pStyle w:val="5"/>
      </w:pPr>
      <w:bookmarkStart w:id="6" w:name="_Toc350957597"/>
      <w:r>
        <w:rPr>
          <w:lang w:eastAsia="zh-CN"/>
        </w:rPr>
        <w:t>6</w:t>
      </w:r>
      <w:r>
        <w:t>.3.</w:t>
      </w:r>
      <w:r>
        <w:rPr>
          <w:lang w:val="en-US"/>
        </w:rPr>
        <w:t>26</w:t>
      </w:r>
      <w:r>
        <w:t>.3</w:t>
      </w:r>
      <w:r>
        <w:tab/>
      </w:r>
      <w:r>
        <w:t>Attribute constraints</w:t>
      </w:r>
      <w:bookmarkEnd w:id="6"/>
      <w:r>
        <w:t xml:space="preserve"> </w:t>
      </w:r>
    </w:p>
    <w:tbl>
      <w:tblPr>
        <w:tblStyle w:val="51"/>
        <w:tblW w:w="0" w:type="auto"/>
        <w:tblInd w:w="1384" w:type="dxa"/>
        <w:tblLayout w:type="autofit"/>
        <w:tblCellMar>
          <w:top w:w="0" w:type="dxa"/>
          <w:left w:w="108" w:type="dxa"/>
          <w:bottom w:w="0" w:type="dxa"/>
          <w:right w:w="108" w:type="dxa"/>
        </w:tblCellMar>
      </w:tblPr>
      <w:tblGrid>
        <w:gridCol w:w="2864"/>
        <w:gridCol w:w="5607"/>
      </w:tblGrid>
      <w:tr>
        <w:tblPrEx>
          <w:tblCellMar>
            <w:top w:w="0" w:type="dxa"/>
            <w:left w:w="108" w:type="dxa"/>
            <w:bottom w:w="0" w:type="dxa"/>
            <w:right w:w="108" w:type="dxa"/>
          </w:tblCellMar>
        </w:tblPrEx>
        <w:tc>
          <w:tcPr>
            <w:tcW w:w="2864"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77"/>
            </w:pPr>
            <w:r>
              <w:t>Name</w:t>
            </w:r>
          </w:p>
        </w:tc>
        <w:tc>
          <w:tcPr>
            <w:tcW w:w="5607"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77"/>
            </w:pPr>
            <w:r>
              <w:t>Definition</w:t>
            </w:r>
          </w:p>
        </w:tc>
      </w:tr>
      <w:tr>
        <w:tblPrEx>
          <w:tblCellMar>
            <w:top w:w="0" w:type="dxa"/>
            <w:left w:w="108" w:type="dxa"/>
            <w:bottom w:w="0" w:type="dxa"/>
            <w:right w:w="108" w:type="dxa"/>
          </w:tblCellMar>
        </w:tblPrEx>
        <w:tc>
          <w:tcPr>
            <w:tcW w:w="2864" w:type="dxa"/>
            <w:tcBorders>
              <w:top w:val="single" w:color="auto" w:sz="4" w:space="0"/>
              <w:left w:val="single" w:color="auto" w:sz="4" w:space="0"/>
              <w:bottom w:val="single" w:color="auto" w:sz="4" w:space="0"/>
              <w:right w:val="single" w:color="auto" w:sz="4" w:space="0"/>
            </w:tcBorders>
            <w:noWrap w:val="0"/>
            <w:vAlign w:val="top"/>
          </w:tcPr>
          <w:p>
            <w:pPr>
              <w:pStyle w:val="63"/>
              <w:rPr>
                <w:rFonts w:hint="eastAsia" w:ascii="Courier New" w:hAnsi="Courier New" w:cs="Courier New"/>
                <w:lang w:eastAsia="zh-CN"/>
              </w:rPr>
            </w:pPr>
            <w:r>
              <w:rPr>
                <w:rFonts w:hint="eastAsia" w:ascii="Courier New" w:hAnsi="Courier New" w:cs="Courier New"/>
                <w:lang w:eastAsia="zh-CN"/>
              </w:rPr>
              <w:t>cCOSta</w:t>
            </w:r>
            <w:r>
              <w:rPr>
                <w:rFonts w:ascii="Courier New" w:hAnsi="Courier New" w:cs="Courier New"/>
                <w:lang w:eastAsia="zh-CN"/>
              </w:rPr>
              <w:t>tus</w:t>
            </w:r>
            <w:r>
              <w:rPr>
                <w:rFonts w:hint="eastAsia" w:ascii="Courier New" w:hAnsi="Courier New" w:cs="Courier New"/>
                <w:lang w:eastAsia="zh-CN"/>
              </w:rPr>
              <w:t xml:space="preserve"> </w:t>
            </w:r>
            <w:r>
              <w:rPr>
                <w:rFonts w:cs="Arial"/>
              </w:rPr>
              <w:t xml:space="preserve">CM </w:t>
            </w:r>
            <w:r>
              <w:rPr>
                <w:rFonts w:cs="Arial"/>
                <w:lang w:eastAsia="zh-CN"/>
              </w:rPr>
              <w:t>Write</w:t>
            </w:r>
            <w:r>
              <w:rPr>
                <w:rFonts w:cs="Arial"/>
              </w:rPr>
              <w:t xml:space="preserve"> Qualifier</w:t>
            </w:r>
          </w:p>
        </w:tc>
        <w:tc>
          <w:tcPr>
            <w:tcW w:w="5607" w:type="dxa"/>
            <w:tcBorders>
              <w:top w:val="single" w:color="auto" w:sz="4" w:space="0"/>
              <w:left w:val="single" w:color="auto" w:sz="4" w:space="0"/>
              <w:bottom w:val="single" w:color="auto" w:sz="4" w:space="0"/>
              <w:right w:val="single" w:color="auto" w:sz="4" w:space="0"/>
            </w:tcBorders>
            <w:noWrap w:val="0"/>
            <w:vAlign w:val="top"/>
          </w:tcPr>
          <w:p>
            <w:pPr>
              <w:pStyle w:val="63"/>
              <w:rPr>
                <w:rFonts w:hint="eastAsia"/>
                <w:lang w:eastAsia="zh-CN"/>
              </w:rPr>
            </w:pPr>
            <w:r>
              <w:rPr>
                <w:rFonts w:hint="eastAsia"/>
                <w:lang w:eastAsia="zh-CN"/>
              </w:rPr>
              <w:t>NM centralized CCO is supported</w:t>
            </w:r>
            <w:r>
              <w:t>.</w:t>
            </w:r>
          </w:p>
        </w:tc>
      </w:tr>
    </w:tbl>
    <w:p>
      <w:pPr>
        <w:pStyle w:val="5"/>
        <w:rPr>
          <w:rFonts w:hint="eastAsia"/>
          <w:lang w:eastAsia="zh-CN"/>
        </w:rPr>
      </w:pPr>
      <w:bookmarkStart w:id="7" w:name="_Toc350957598"/>
      <w:r>
        <w:rPr>
          <w:lang w:eastAsia="zh-CN"/>
        </w:rPr>
        <w:t>6</w:t>
      </w:r>
      <w:r>
        <w:t>.3.</w:t>
      </w:r>
      <w:r>
        <w:rPr>
          <w:lang w:val="en-US" w:eastAsia="zh-CN"/>
        </w:rPr>
        <w:t>26</w:t>
      </w:r>
      <w:r>
        <w:t>.</w:t>
      </w:r>
      <w:r>
        <w:rPr>
          <w:rFonts w:hint="eastAsia"/>
          <w:lang w:eastAsia="zh-CN"/>
        </w:rPr>
        <w:t>4</w:t>
      </w:r>
      <w:r>
        <w:tab/>
      </w:r>
      <w:r>
        <w:t>Notifications</w:t>
      </w:r>
      <w:bookmarkEnd w:id="7"/>
      <w:r>
        <w:t xml:space="preserve"> </w:t>
      </w:r>
    </w:p>
    <w:p>
      <w:r>
        <w:t xml:space="preserve">The common notifications defined in subclause </w:t>
      </w:r>
      <w:r>
        <w:rPr>
          <w:rFonts w:hint="eastAsia"/>
          <w:lang w:eastAsia="zh-CN"/>
        </w:rPr>
        <w:t>6.6.2</w:t>
      </w:r>
      <w:r>
        <w:t xml:space="preserve"> are valid for this IOC, with the addition that </w:t>
      </w:r>
      <w:r>
        <w:rPr>
          <w:rFonts w:ascii="Courier New" w:hAnsi="Courier New"/>
        </w:rPr>
        <w:t xml:space="preserve">notifyAttributeValueChange </w:t>
      </w:r>
      <w:r>
        <w:t>shall be supported (Support Qualifier M).</w:t>
      </w:r>
    </w:p>
    <w:p/>
    <w:tbl>
      <w:tblPr>
        <w:tblStyle w:val="51"/>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8"/>
        <w:gridCol w:w="4395"/>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938" w:type="pct"/>
            <w:noWrap w:val="0"/>
            <w:vAlign w:val="top"/>
          </w:tcPr>
          <w:p>
            <w:pPr>
              <w:pStyle w:val="113"/>
              <w:rPr>
                <w:rFonts w:cs="Courier New"/>
                <w:sz w:val="18"/>
                <w:szCs w:val="18"/>
              </w:rPr>
            </w:pPr>
            <w:r>
              <w:rPr>
                <w:rFonts w:cs="Courier New"/>
                <w:sz w:val="18"/>
                <w:szCs w:val="18"/>
              </w:rPr>
              <w:t>cCOStatus</w:t>
            </w:r>
          </w:p>
        </w:tc>
        <w:tc>
          <w:tcPr>
            <w:tcW w:w="2280" w:type="pct"/>
            <w:noWrap w:val="0"/>
            <w:vAlign w:val="top"/>
          </w:tcPr>
          <w:p>
            <w:pPr>
              <w:pStyle w:val="168"/>
              <w:spacing w:before="0" w:beforeAutospacing="0" w:after="0" w:afterAutospacing="0"/>
              <w:ind w:left="90" w:hanging="90"/>
              <w:rPr>
                <w:rFonts w:ascii="Arial" w:hAnsi="Arial" w:cs="Arial"/>
                <w:sz w:val="18"/>
                <w:szCs w:val="18"/>
                <w:lang w:val="en-GB"/>
              </w:rPr>
            </w:pPr>
            <w:r>
              <w:rPr>
                <w:rFonts w:ascii="Arial" w:hAnsi="Arial" w:cs="Arial"/>
                <w:sz w:val="18"/>
                <w:szCs w:val="18"/>
                <w:lang w:val="en-GB"/>
              </w:rPr>
              <w:t xml:space="preserve">This attribute holds the information about the capacity and coverage optimization (CCO) function activities for the cell which name contains the </w:t>
            </w:r>
            <w:r>
              <w:rPr>
                <w:rFonts w:ascii="Courier New" w:hAnsi="Courier New" w:cs="Courier New"/>
                <w:sz w:val="18"/>
                <w:szCs w:val="18"/>
                <w:lang w:val="en-GB"/>
              </w:rPr>
              <w:t>CCOInformation</w:t>
            </w:r>
            <w:r>
              <w:rPr>
                <w:rFonts w:ascii="Arial" w:hAnsi="Arial" w:cs="Arial"/>
                <w:sz w:val="18"/>
                <w:szCs w:val="18"/>
                <w:lang w:val="en-GB"/>
              </w:rPr>
              <w:t xml:space="preserve"> IOC instance.</w:t>
            </w:r>
          </w:p>
          <w:p>
            <w:pPr>
              <w:pStyle w:val="168"/>
              <w:spacing w:before="0" w:beforeAutospacing="0" w:after="0" w:afterAutospacing="0"/>
              <w:ind w:left="90" w:hanging="90"/>
              <w:rPr>
                <w:rFonts w:ascii="Arial" w:hAnsi="Arial" w:cs="Arial"/>
                <w:sz w:val="18"/>
                <w:szCs w:val="18"/>
                <w:lang w:val="en-GB"/>
              </w:rPr>
            </w:pPr>
          </w:p>
          <w:p>
            <w:pPr>
              <w:pStyle w:val="168"/>
              <w:spacing w:before="0" w:beforeAutospacing="0" w:after="0" w:afterAutospacing="0"/>
              <w:ind w:left="90" w:hanging="90"/>
              <w:rPr>
                <w:rFonts w:ascii="Arial" w:hAnsi="Arial" w:cs="Arial"/>
                <w:sz w:val="18"/>
                <w:szCs w:val="18"/>
                <w:lang w:val="en-GB"/>
              </w:rPr>
            </w:pPr>
            <w:r>
              <w:rPr>
                <w:rFonts w:ascii="Arial" w:hAnsi="Arial" w:cs="Arial"/>
                <w:sz w:val="18"/>
                <w:szCs w:val="18"/>
                <w:lang w:val="en-GB"/>
              </w:rPr>
              <w:t xml:space="preserve">The initial state is cCOPassive . When a cell is in cCOPassive state, it may monitor the cell performance to prepare for CCO action. </w:t>
            </w:r>
          </w:p>
          <w:p>
            <w:pPr>
              <w:pStyle w:val="168"/>
              <w:spacing w:before="0" w:beforeAutospacing="0" w:after="0" w:afterAutospacing="0"/>
              <w:ind w:left="90" w:hanging="90"/>
              <w:rPr>
                <w:rFonts w:ascii="Arial" w:hAnsi="Arial" w:cs="Arial"/>
                <w:sz w:val="18"/>
                <w:szCs w:val="18"/>
                <w:lang w:val="en-GB"/>
              </w:rPr>
            </w:pPr>
          </w:p>
          <w:p>
            <w:pPr>
              <w:pStyle w:val="168"/>
              <w:spacing w:before="0" w:beforeAutospacing="0" w:after="0" w:afterAutospacing="0"/>
              <w:ind w:left="90" w:hanging="90"/>
              <w:rPr>
                <w:rFonts w:ascii="Arial" w:hAnsi="Arial" w:cs="Arial"/>
                <w:sz w:val="18"/>
                <w:szCs w:val="18"/>
                <w:lang w:val="en-GB"/>
              </w:rPr>
            </w:pPr>
            <w:r>
              <w:rPr>
                <w:rFonts w:ascii="Arial" w:hAnsi="Arial" w:cs="Arial"/>
                <w:sz w:val="18"/>
                <w:szCs w:val="18"/>
                <w:lang w:val="en-GB"/>
              </w:rPr>
              <w:t xml:space="preserve">When CCO starts to update the parameters of this cell or on a relevant cell for a CCO transaction, the state is changed to </w:t>
            </w:r>
            <w:r>
              <w:rPr>
                <w:rFonts w:ascii="Courier New" w:hAnsi="Courier New" w:cs="Courier New"/>
                <w:sz w:val="18"/>
                <w:szCs w:val="18"/>
                <w:lang w:val="en-GB"/>
              </w:rPr>
              <w:t>cCOActive</w:t>
            </w:r>
            <w:r>
              <w:rPr>
                <w:rFonts w:ascii="Arial" w:hAnsi="Arial" w:cs="Arial"/>
                <w:sz w:val="18"/>
                <w:szCs w:val="18"/>
                <w:lang w:val="en-GB"/>
              </w:rPr>
              <w:t>.</w:t>
            </w:r>
          </w:p>
          <w:p>
            <w:pPr>
              <w:pStyle w:val="168"/>
              <w:spacing w:before="0" w:beforeAutospacing="0" w:after="0" w:afterAutospacing="0"/>
              <w:ind w:left="90" w:hanging="90"/>
              <w:rPr>
                <w:rFonts w:ascii="Arial" w:hAnsi="Arial" w:cs="Arial"/>
                <w:sz w:val="18"/>
                <w:szCs w:val="18"/>
                <w:lang w:val="en-GB"/>
              </w:rPr>
            </w:pPr>
          </w:p>
          <w:p>
            <w:pPr>
              <w:pStyle w:val="168"/>
              <w:spacing w:before="0" w:beforeAutospacing="0" w:after="0" w:afterAutospacing="0"/>
              <w:ind w:left="90" w:hanging="90"/>
              <w:rPr>
                <w:rFonts w:ascii="Arial" w:hAnsi="Arial" w:cs="Arial"/>
                <w:sz w:val="18"/>
                <w:szCs w:val="18"/>
                <w:lang w:val="en-GB"/>
              </w:rPr>
            </w:pPr>
            <w:r>
              <w:rPr>
                <w:rFonts w:ascii="Arial" w:hAnsi="Arial" w:cs="Arial"/>
                <w:sz w:val="18"/>
                <w:szCs w:val="18"/>
                <w:lang w:val="en-GB"/>
              </w:rPr>
              <w:t xml:space="preserve">When CCO finishes updating the parameters of all cells for one CCO transaction, the state is changed to </w:t>
            </w:r>
            <w:r>
              <w:rPr>
                <w:rFonts w:ascii="Courier New" w:hAnsi="Courier New" w:cs="Courier New"/>
                <w:sz w:val="18"/>
                <w:szCs w:val="18"/>
                <w:lang w:val="en-GB"/>
              </w:rPr>
              <w:t>cCOPassive</w:t>
            </w:r>
            <w:r>
              <w:rPr>
                <w:rFonts w:ascii="Arial" w:hAnsi="Arial" w:cs="Arial"/>
                <w:sz w:val="18"/>
                <w:szCs w:val="18"/>
                <w:lang w:val="en-GB"/>
              </w:rPr>
              <w:t>.</w:t>
            </w:r>
          </w:p>
          <w:p>
            <w:pPr>
              <w:pStyle w:val="63"/>
            </w:pPr>
          </w:p>
        </w:tc>
        <w:tc>
          <w:tcPr>
            <w:tcW w:w="1691" w:type="pct"/>
            <w:noWrap w:val="0"/>
            <w:vAlign w:val="top"/>
          </w:tcPr>
          <w:p>
            <w:pPr>
              <w:pStyle w:val="168"/>
              <w:spacing w:before="0" w:beforeAutospacing="0" w:after="0" w:afterAutospacing="0"/>
              <w:rPr>
                <w:rFonts w:ascii="Courier New" w:hAnsi="Courier New" w:cs="Courier New"/>
                <w:sz w:val="18"/>
                <w:szCs w:val="18"/>
                <w:lang w:val="en-GB"/>
              </w:rPr>
            </w:pPr>
            <w:r>
              <w:rPr>
                <w:rFonts w:ascii="Courier New" w:hAnsi="Courier New" w:cs="Courier New"/>
                <w:sz w:val="18"/>
                <w:szCs w:val="18"/>
                <w:lang w:val="en-GB"/>
              </w:rPr>
              <w:t>Enumerated</w:t>
            </w:r>
          </w:p>
          <w:p>
            <w:pPr>
              <w:pStyle w:val="168"/>
              <w:spacing w:before="0" w:beforeAutospacing="0" w:after="0" w:afterAutospacing="0"/>
              <w:rPr>
                <w:rFonts w:ascii="Courier New" w:hAnsi="Courier New" w:cs="Courier New"/>
                <w:sz w:val="18"/>
                <w:szCs w:val="18"/>
                <w:lang w:val="en-GB"/>
              </w:rPr>
            </w:pPr>
            <w:r>
              <w:rPr>
                <w:rFonts w:ascii="Courier New" w:hAnsi="Courier New" w:cs="Courier New"/>
                <w:sz w:val="18"/>
                <w:szCs w:val="18"/>
                <w:lang w:val="en-GB"/>
              </w:rPr>
              <w:t>{</w:t>
            </w:r>
          </w:p>
          <w:p>
            <w:pPr>
              <w:pStyle w:val="168"/>
              <w:spacing w:before="0" w:beforeAutospacing="0" w:after="0" w:afterAutospacing="0"/>
              <w:rPr>
                <w:rFonts w:ascii="Courier New" w:hAnsi="Courier New" w:cs="Courier New"/>
                <w:sz w:val="18"/>
                <w:szCs w:val="18"/>
                <w:lang w:val="en-GB"/>
              </w:rPr>
            </w:pPr>
            <w:r>
              <w:rPr>
                <w:rFonts w:ascii="Courier New" w:hAnsi="Courier New" w:cs="Courier New"/>
                <w:sz w:val="18"/>
                <w:szCs w:val="18"/>
                <w:lang w:val="en-GB"/>
              </w:rPr>
              <w:t xml:space="preserve">  cCOPassive,</w:t>
            </w:r>
          </w:p>
          <w:p>
            <w:pPr>
              <w:pStyle w:val="168"/>
              <w:spacing w:before="0" w:beforeAutospacing="0" w:after="0" w:afterAutospacing="0"/>
              <w:rPr>
                <w:rFonts w:ascii="Courier New" w:hAnsi="Courier New" w:cs="Courier New"/>
                <w:sz w:val="18"/>
                <w:szCs w:val="18"/>
                <w:lang w:val="en-GB"/>
              </w:rPr>
            </w:pPr>
            <w:r>
              <w:rPr>
                <w:rFonts w:ascii="Courier New" w:hAnsi="Courier New" w:cs="Courier New"/>
                <w:sz w:val="18"/>
                <w:szCs w:val="18"/>
                <w:lang w:val="en-GB"/>
              </w:rPr>
              <w:t xml:space="preserve">  cCOActive</w:t>
            </w:r>
          </w:p>
          <w:p>
            <w:pPr>
              <w:pStyle w:val="168"/>
              <w:spacing w:before="0" w:beforeAutospacing="0" w:after="0" w:afterAutospacing="0"/>
              <w:rPr>
                <w:rFonts w:ascii="Courier New" w:hAnsi="Courier New" w:cs="Courier New"/>
                <w:sz w:val="18"/>
                <w:szCs w:val="18"/>
                <w:lang w:val="en-GB"/>
              </w:rPr>
            </w:pPr>
            <w:r>
              <w:rPr>
                <w:rFonts w:ascii="Courier New" w:hAnsi="Courier New" w:cs="Courier New"/>
                <w:sz w:val="18"/>
                <w:szCs w:val="18"/>
                <w:lang w:val="en-GB"/>
              </w:rPr>
              <w:t>}</w:t>
            </w:r>
          </w:p>
          <w:p>
            <w:pPr>
              <w:pStyle w:val="63"/>
              <w:rPr>
                <w:rFonts w:hint="eastAsia"/>
                <w:lang w:eastAsia="zh-CN"/>
              </w:rPr>
            </w:pPr>
          </w:p>
        </w:tc>
      </w:tr>
    </w:tbl>
    <w:p>
      <w:pPr>
        <w:rPr>
          <w:rFonts w:hint="eastAsia"/>
          <w:lang w:val="en-US" w:eastAsia="zh-CN"/>
        </w:rPr>
      </w:pPr>
      <w:r>
        <w:rPr>
          <w:rFonts w:hint="eastAsia"/>
          <w:lang w:val="en-US" w:eastAsia="zh-CN"/>
        </w:rPr>
        <w:t>-----------------------------------------------------------------TS 32.762----------------------------------------------------------------</w:t>
      </w:r>
    </w:p>
    <w:p>
      <w:pPr>
        <w:rPr>
          <w:rFonts w:hint="default"/>
          <w:lang w:val="en-US" w:eastAsia="zh-CN"/>
        </w:rPr>
      </w:pPr>
      <w:r>
        <w:rPr>
          <w:rFonts w:hint="eastAsia"/>
          <w:lang w:val="en-US" w:eastAsia="zh-CN"/>
        </w:rPr>
        <w:t>The CCO configuration parameter defined in SA5, CCO Status, can indicate two states of CCO function activities. However, there seems to be no similar CCO configuration parameter defined in current NR specification from the prospective of SA5. And whether there is any CCO configuration from OAM should be pending to SA5.</w:t>
      </w:r>
    </w:p>
    <w:p>
      <w:pPr>
        <w:rPr>
          <w:rFonts w:hint="default"/>
          <w:lang w:val="en-US"/>
        </w:rPr>
      </w:pPr>
      <w:r>
        <w:rPr>
          <w:rFonts w:hint="eastAsia"/>
          <w:b/>
          <w:bCs/>
          <w:u w:val="none"/>
          <w:lang w:val="en-US" w:eastAsia="zh-CN"/>
        </w:rPr>
        <w:t>Proposal 1: The CCO configuration from OAM should be pending to SA5.</w:t>
      </w:r>
    </w:p>
    <w:p>
      <w:pPr>
        <w:pStyle w:val="3"/>
        <w:bidi w:val="0"/>
        <w:rPr>
          <w:rFonts w:hint="eastAsia"/>
          <w:lang w:val="en-US" w:eastAsia="zh-CN"/>
        </w:rPr>
      </w:pPr>
      <w:r>
        <w:rPr>
          <w:rFonts w:hint="eastAsia"/>
          <w:lang w:val="en-US" w:eastAsia="zh-CN"/>
        </w:rPr>
        <w:t>CCO Use Cases</w:t>
      </w:r>
    </w:p>
    <w:p>
      <w:pPr>
        <w:rPr>
          <w:rFonts w:hint="default"/>
          <w:lang w:val="en-US" w:eastAsia="zh-CN"/>
        </w:rPr>
      </w:pPr>
      <w:r>
        <w:rPr>
          <w:rFonts w:hint="eastAsia"/>
          <w:lang w:val="en-US" w:eastAsia="zh-CN"/>
        </w:rPr>
        <w:t>In last meeting, it was agreed that the identified use cases for CCO could include the cell edge capacity and coverage. To find the other CCO use cases, the TR 37.816 in the Study Item phase could be a reference.</w:t>
      </w:r>
    </w:p>
    <w:p>
      <w:pPr>
        <w:rPr>
          <w:rFonts w:hint="eastAsia"/>
          <w:lang w:val="en-US" w:eastAsia="zh-CN"/>
        </w:rPr>
      </w:pPr>
      <w:r>
        <w:rPr>
          <w:rFonts w:hint="eastAsia"/>
          <w:lang w:val="en-US" w:eastAsia="zh-CN"/>
        </w:rPr>
        <w:t>-----------------------------------------------------------------TR 37.816----------------------------------------------------------------</w:t>
      </w:r>
    </w:p>
    <w:p>
      <w:pPr>
        <w:pStyle w:val="4"/>
        <w:numPr>
          <w:ilvl w:val="2"/>
          <w:numId w:val="0"/>
        </w:numPr>
        <w:tabs>
          <w:tab w:val="clear" w:pos="720"/>
        </w:tabs>
        <w:bidi w:val="0"/>
        <w:ind w:leftChars="0"/>
        <w:rPr>
          <w:rFonts w:hint="eastAsia"/>
          <w:lang w:eastAsia="zh-CN"/>
        </w:rPr>
      </w:pPr>
      <w:bookmarkStart w:id="8" w:name="_Toc14821240"/>
      <w:r>
        <w:rPr>
          <w:rFonts w:hint="eastAsia"/>
          <w:lang w:eastAsia="zh-CN"/>
        </w:rPr>
        <w:t>5</w:t>
      </w:r>
      <w:r>
        <w:t>.1</w:t>
      </w:r>
      <w:r>
        <w:tab/>
      </w:r>
      <w:r>
        <w:rPr>
          <w:rFonts w:hint="eastAsia"/>
          <w:lang w:eastAsia="zh-CN"/>
        </w:rPr>
        <w:t>Capacity and Coverage Optimization</w:t>
      </w:r>
      <w:bookmarkEnd w:id="8"/>
    </w:p>
    <w:p>
      <w:pPr>
        <w:pStyle w:val="5"/>
        <w:bidi w:val="0"/>
        <w:rPr>
          <w:rFonts w:hint="eastAsia"/>
          <w:lang w:eastAsia="zh-CN"/>
        </w:rPr>
      </w:pPr>
      <w:bookmarkStart w:id="9" w:name="_Toc14821241"/>
      <w:r>
        <w:rPr>
          <w:rFonts w:hint="eastAsia"/>
          <w:lang w:eastAsia="zh-CN"/>
        </w:rPr>
        <w:t>5</w:t>
      </w:r>
      <w:r>
        <w:rPr>
          <w:rFonts w:hint="eastAsia"/>
          <w:lang w:eastAsia="ja-JP"/>
        </w:rPr>
        <w:t>.1.1</w:t>
      </w:r>
      <w:r>
        <w:rPr>
          <w:rFonts w:hint="eastAsia"/>
          <w:lang w:eastAsia="ja-JP"/>
        </w:rPr>
        <w:tab/>
      </w:r>
      <w:r>
        <w:rPr>
          <w:rFonts w:hint="eastAsia"/>
          <w:lang w:eastAsia="zh-CN"/>
        </w:rPr>
        <w:t>Use case description</w:t>
      </w:r>
      <w:bookmarkEnd w:id="9"/>
    </w:p>
    <w:p>
      <w:pPr>
        <w:rPr>
          <w:color w:val="000000"/>
          <w:lang w:eastAsia="zh-CN"/>
        </w:rPr>
      </w:pPr>
      <w:r>
        <w:rPr>
          <w:color w:val="000000"/>
          <w:lang w:eastAsia="zh-CN"/>
        </w:rPr>
        <w:t>Coverage and Capacity Optimization (CCO) is one of the typical operational tasks to optimize the radio access network (RAN). CCO</w:t>
      </w:r>
      <w:r>
        <w:rPr>
          <w:color w:val="000000"/>
          <w:kern w:val="2"/>
        </w:rPr>
        <w:t xml:space="preserve"> has been identified as a key use case for SON since LTE, </w:t>
      </w:r>
      <w:r>
        <w:rPr>
          <w:color w:val="000000"/>
          <w:kern w:val="2"/>
          <w:lang w:eastAsia="zh-CN"/>
        </w:rPr>
        <w:t xml:space="preserve">which </w:t>
      </w:r>
      <w:r>
        <w:rPr>
          <w:color w:val="000000"/>
          <w:lang w:eastAsia="zh-CN"/>
        </w:rPr>
        <w:t>aims to provide the required capacity in the targeted coverage areas and to minimize the interference and maintain an acceptable quality of service in an autonomous way. There is a trade-off between coverage and capacity optimization, capacity enhancements are usually at the expense of service coverage degradations, and vice versa. There is a need to balance and manage the trade-off between the two.</w:t>
      </w:r>
    </w:p>
    <w:p>
      <w:pPr>
        <w:rPr>
          <w:color w:val="000000"/>
          <w:highlight w:val="yellow"/>
          <w:lang w:eastAsia="zh-CN"/>
        </w:rPr>
      </w:pPr>
      <w:r>
        <w:rPr>
          <w:color w:val="000000"/>
          <w:lang w:eastAsia="zh-CN"/>
        </w:rPr>
        <w:t>CCO allows the system to periodically adapt to the changes in traffic (i.e. load and location) and the radio environmen</w:t>
      </w:r>
      <w:r>
        <w:rPr>
          <w:rFonts w:hint="eastAsia"/>
          <w:color w:val="000000"/>
          <w:lang w:val="en-US" w:eastAsia="zh-CN"/>
        </w:rPr>
        <w:t xml:space="preserve">t </w:t>
      </w:r>
      <w:r>
        <w:rPr>
          <w:color w:val="000000"/>
          <w:kern w:val="2"/>
        </w:rPr>
        <w:t xml:space="preserve">by </w:t>
      </w:r>
      <w:r>
        <w:rPr>
          <w:color w:val="000000"/>
          <w:kern w:val="2"/>
          <w:lang w:eastAsia="zh-CN"/>
        </w:rPr>
        <w:t xml:space="preserve">automatically </w:t>
      </w:r>
      <w:r>
        <w:rPr>
          <w:color w:val="000000"/>
          <w:kern w:val="2"/>
        </w:rPr>
        <w:t xml:space="preserve">adjusting coverage </w:t>
      </w:r>
      <w:r>
        <w:rPr>
          <w:color w:val="000000"/>
          <w:kern w:val="2"/>
          <w:lang w:eastAsia="zh-CN"/>
        </w:rPr>
        <w:t xml:space="preserve">for </w:t>
      </w:r>
      <w:r>
        <w:rPr>
          <w:color w:val="000000"/>
          <w:kern w:val="2"/>
        </w:rPr>
        <w:t xml:space="preserve">the </w:t>
      </w:r>
      <w:r>
        <w:rPr>
          <w:color w:val="000000"/>
          <w:kern w:val="2"/>
          <w:lang w:eastAsia="zh-CN"/>
        </w:rPr>
        <w:t>cell</w:t>
      </w:r>
      <w:r>
        <w:rPr>
          <w:color w:val="000000"/>
          <w:kern w:val="2"/>
        </w:rPr>
        <w:t>s that serve a certain area for a particular traffic situation.</w:t>
      </w:r>
      <w:r>
        <w:rPr>
          <w:color w:val="000000"/>
          <w:kern w:val="2"/>
          <w:lang w:eastAsia="zh-CN"/>
        </w:rPr>
        <w:t xml:space="preserve"> Due to the introduction of beam based antenna structures </w:t>
      </w:r>
      <w:r>
        <w:rPr>
          <w:color w:val="000000"/>
          <w:lang w:eastAsia="zh-CN"/>
        </w:rPr>
        <w:t xml:space="preserve">the set of configurable antenna and RF parameters are multi-dimensional. It is very complex to find the mapping between network configurations with target coverage and capacity performance. To make it feasible, some kind of machine learning techniques could be utilized which will leverage on the data collected in the RAN network. </w:t>
      </w:r>
      <w:r>
        <w:rPr>
          <w:color w:val="000000"/>
          <w:highlight w:val="none"/>
          <w:lang w:eastAsia="zh-CN"/>
        </w:rPr>
        <w:t>The collected data could be UE measurements, performance measurements, events and other monitoring information</w:t>
      </w:r>
      <w:r>
        <w:rPr>
          <w:rFonts w:hint="eastAsia"/>
          <w:color w:val="000000"/>
          <w:highlight w:val="none"/>
          <w:lang w:eastAsia="zh-CN"/>
        </w:rPr>
        <w:t xml:space="preserve">, </w:t>
      </w:r>
      <w:r>
        <w:rPr>
          <w:color w:val="000000"/>
          <w:highlight w:val="none"/>
          <w:lang w:eastAsia="zh-CN"/>
        </w:rPr>
        <w:t xml:space="preserve">also taking into account beamforming and massive MIMO - related information. These inputs could help the operator firstly </w:t>
      </w:r>
      <w:r>
        <w:rPr>
          <w:color w:val="000000"/>
          <w:highlight w:val="yellow"/>
          <w:lang w:eastAsia="zh-CN"/>
        </w:rPr>
        <w:t>identify the coverage and capacity problems, for instance, coverage hole, weak pilot pollution</w:t>
      </w:r>
      <w:r>
        <w:rPr>
          <w:rFonts w:hint="eastAsia"/>
          <w:color w:val="000000"/>
          <w:highlight w:val="yellow"/>
          <w:lang w:val="en-US" w:eastAsia="zh-CN"/>
        </w:rPr>
        <w:t>,</w:t>
      </w:r>
      <w:r>
        <w:rPr>
          <w:color w:val="000000"/>
          <w:highlight w:val="yellow"/>
          <w:lang w:eastAsia="zh-CN"/>
        </w:rPr>
        <w:t xml:space="preserve"> overshoot coverage and DL and UL channel coverage mismatch and further perform the coverage and capacity optimization. </w:t>
      </w:r>
    </w:p>
    <w:p>
      <w:pPr>
        <w:rPr>
          <w:rFonts w:hint="eastAsia"/>
          <w:color w:val="000000"/>
          <w:lang w:eastAsia="zh-CN"/>
        </w:rPr>
      </w:pPr>
      <w:r>
        <w:rPr>
          <w:color w:val="000000"/>
          <w:lang w:eastAsia="zh-CN"/>
        </w:rPr>
        <w:t xml:space="preserve">Coverage holes with unbalanced DL and UL channel coverage require consideration. The concept of RLF reporting from UE to RAN node and corresponding analysis provide the means to identify coverage holes and separate them from mobility related RLF failures, but a more detailed analysis of the root cause of a coverage hole is needed for an efficient CCO algorithm to detect UL channel coverage holes. Providing knowledge about root cause of a coverage hole by more elaborated analysis in the RAN node can trigger the right countermeasures quicker and more reliably.  </w:t>
      </w:r>
    </w:p>
    <w:p>
      <w:pPr>
        <w:rPr>
          <w:rFonts w:hint="eastAsia"/>
          <w:color w:val="000000"/>
          <w:lang w:eastAsia="zh-CN"/>
        </w:rPr>
      </w:pPr>
      <w:r>
        <w:rPr>
          <w:color w:val="000000"/>
        </w:rPr>
        <w:t>Active Antenna Systems (AAS) will be deployed widely in NR as well. Therefore, dynamic coverage configuration change function similar to LTE would be supported in NR CCO.</w:t>
      </w:r>
    </w:p>
    <w:p>
      <w:pPr>
        <w:rPr>
          <w:rFonts w:eastAsia="宋体"/>
          <w:color w:val="000000"/>
        </w:rPr>
      </w:pPr>
      <w:r>
        <w:rPr>
          <w:rFonts w:eastAsia="宋体"/>
          <w:color w:val="000000"/>
        </w:rPr>
        <w:t>The use cases addressed by the CCO solution for NR can be classified as follows.</w:t>
      </w:r>
    </w:p>
    <w:p>
      <w:pPr>
        <w:rPr>
          <w:rFonts w:eastAsia="宋体"/>
          <w:b/>
          <w:color w:val="000000"/>
        </w:rPr>
      </w:pPr>
      <w:r>
        <w:rPr>
          <w:rFonts w:eastAsia="宋体"/>
          <w:b/>
          <w:color w:val="000000"/>
        </w:rPr>
        <w:t>Use case 1: Coverage problems</w:t>
      </w:r>
    </w:p>
    <w:p>
      <w:pPr>
        <w:rPr>
          <w:rFonts w:hint="eastAsia"/>
          <w:color w:val="000000"/>
          <w:lang w:eastAsia="zh-CN"/>
        </w:rPr>
      </w:pPr>
      <w:r>
        <w:rPr>
          <w:rFonts w:eastAsia="宋体"/>
          <w:color w:val="000000"/>
        </w:rPr>
        <w:t>This use case focuses on scenarios where the coverage of reference signals is sub-optimal, leaving the UE exposed to failures or degraded performance, e.g. when a coverage hole is found or where UL/DL disparity is encountered. It is worth noticing that MRO will take care of all types of failures due to wrong mobility settings within a network with good cell planning. That implies that CCO should address cases where the root cause of the problem is due to a bad coverage planning.</w:t>
      </w:r>
    </w:p>
    <w:p>
      <w:pPr>
        <w:keepNext/>
        <w:rPr>
          <w:rFonts w:eastAsia="宋体"/>
          <w:b/>
          <w:color w:val="000000"/>
          <w:highlight w:val="yellow"/>
        </w:rPr>
      </w:pPr>
      <w:r>
        <w:rPr>
          <w:rFonts w:eastAsia="宋体"/>
          <w:b/>
          <w:color w:val="000000"/>
          <w:highlight w:val="yellow"/>
        </w:rPr>
        <w:t>Use Case 2: Capacity problems</w:t>
      </w:r>
    </w:p>
    <w:p>
      <w:pPr>
        <w:rPr>
          <w:rFonts w:hint="eastAsia"/>
          <w:color w:val="000000"/>
          <w:highlight w:val="none"/>
          <w:lang w:eastAsia="zh-CN"/>
        </w:rPr>
      </w:pPr>
      <w:r>
        <w:rPr>
          <w:color w:val="000000"/>
          <w:highlight w:val="none"/>
        </w:rPr>
        <w:t xml:space="preserve">Within this class </w:t>
      </w:r>
      <w:r>
        <w:rPr>
          <w:rFonts w:hint="eastAsia" w:eastAsia="宋体"/>
          <w:color w:val="000000"/>
          <w:highlight w:val="none"/>
          <w:lang w:eastAsia="zh-CN"/>
        </w:rPr>
        <w:t xml:space="preserve">some </w:t>
      </w:r>
      <w:r>
        <w:rPr>
          <w:color w:val="000000"/>
          <w:highlight w:val="none"/>
        </w:rPr>
        <w:t xml:space="preserve">cases </w:t>
      </w:r>
      <w:r>
        <w:rPr>
          <w:rFonts w:hint="eastAsia" w:eastAsia="宋体"/>
          <w:color w:val="000000"/>
          <w:highlight w:val="none"/>
          <w:lang w:eastAsia="zh-CN"/>
        </w:rPr>
        <w:t xml:space="preserve">were found </w:t>
      </w:r>
      <w:r>
        <w:rPr>
          <w:color w:val="000000"/>
          <w:highlight w:val="none"/>
        </w:rPr>
        <w:t xml:space="preserve">where capacity within a cell or beam is saturated, resulting in one or more UEs being subject to failures or suboptimal performance. There are a number of reasons for such event, such as high demand of services which exceeds resources available in the cell/beam or poor radio conditions affecting a large share of served UEs (for example where a large number of UEs is at cell edge, causing high interference to other UEs and consuming large amounts of resources). </w:t>
      </w:r>
    </w:p>
    <w:p>
      <w:pPr>
        <w:rPr>
          <w:color w:val="000000"/>
          <w:highlight w:val="none"/>
          <w:lang w:eastAsia="zh-CN"/>
        </w:rPr>
      </w:pPr>
      <w:r>
        <w:rPr>
          <w:rFonts w:eastAsia="宋体"/>
          <w:color w:val="000000"/>
          <w:highlight w:val="none"/>
        </w:rPr>
        <w:t>It is worth noticing that MLB will take care of load distribution via mobility and that such mobility load balancing is done mainly in inter frequency scenarios, i.e. where cross cell interference is not an issue. That implies that CCO should address cases where the root cause of the problem is due to serving UEs at cell/beam edge, where the "edge" is between cells/beams utilising the same resources</w:t>
      </w:r>
      <w:r>
        <w:rPr>
          <w:rFonts w:hint="eastAsia" w:ascii="宋体" w:hAnsi="宋体"/>
          <w:color w:val="000000"/>
          <w:highlight w:val="none"/>
          <w:lang w:eastAsia="zh-CN"/>
        </w:rPr>
        <w:t>.</w:t>
      </w:r>
    </w:p>
    <w:p>
      <w:pPr>
        <w:rPr>
          <w:rFonts w:hint="eastAsia"/>
          <w:lang w:val="en-US" w:eastAsia="zh-CN"/>
        </w:rPr>
      </w:pPr>
      <w:r>
        <w:rPr>
          <w:rFonts w:hint="eastAsia"/>
          <w:lang w:val="en-US" w:eastAsia="zh-CN"/>
        </w:rPr>
        <w:t>-----------------------------------------------------------------TR 32.762----------------------------------------------------------------</w:t>
      </w:r>
    </w:p>
    <w:p>
      <w:pPr>
        <w:rPr>
          <w:rFonts w:hint="default"/>
          <w:lang w:val="en-US" w:eastAsia="zh-CN"/>
        </w:rPr>
      </w:pPr>
      <w:r>
        <w:rPr>
          <w:rFonts w:hint="eastAsia"/>
          <w:lang w:val="en-US" w:eastAsia="zh-CN"/>
        </w:rPr>
        <w:t>As described in the above TR, the potential problem for CCO may include coverage hole, weak pilot pollution and overshoot coverage, which are the use case of MDT rather than CCO. Currently, the coverage and the cell edge capacity are able to cover the major use cases of the CCO. The other use case should be discussed by contributions.</w:t>
      </w:r>
    </w:p>
    <w:p>
      <w:pPr>
        <w:rPr>
          <w:rFonts w:hint="default"/>
          <w:lang w:val="en-US"/>
        </w:rPr>
      </w:pPr>
      <w:r>
        <w:rPr>
          <w:rFonts w:hint="eastAsia"/>
          <w:b/>
          <w:bCs/>
          <w:u w:val="none"/>
          <w:lang w:val="en-US" w:eastAsia="zh-CN"/>
        </w:rPr>
        <w:t>Proposal 2: The coverage and cell edge capacity are able to cover the major use cases of the CCO currently.</w:t>
      </w:r>
    </w:p>
    <w:p>
      <w:pPr>
        <w:pStyle w:val="3"/>
        <w:bidi w:val="0"/>
        <w:rPr>
          <w:rFonts w:hint="eastAsia"/>
          <w:lang w:val="en-US" w:eastAsia="zh-CN"/>
        </w:rPr>
      </w:pPr>
      <w:r>
        <w:rPr>
          <w:rFonts w:hint="eastAsia"/>
          <w:lang w:val="en-US" w:eastAsia="zh-CN"/>
        </w:rPr>
        <w:t>CCO configuration info over Xn</w:t>
      </w:r>
    </w:p>
    <w:p>
      <w:pPr>
        <w:rPr>
          <w:rFonts w:hint="eastAsia"/>
          <w:sz w:val="20"/>
          <w:szCs w:val="20"/>
          <w:lang w:val="en-US" w:eastAsia="zh-CN"/>
        </w:rPr>
      </w:pPr>
      <w:r>
        <w:rPr>
          <w:rFonts w:hint="eastAsia"/>
          <w:sz w:val="20"/>
          <w:szCs w:val="20"/>
          <w:lang w:val="en-US" w:eastAsia="zh-CN"/>
        </w:rPr>
        <w:t>For the CCO issue over Xn, as the beam is the new characteristic in NR, the beam level coverage configuration for CCO should be regarded as a new granularity. In addition to the cell level coverage modification, the beam level coverage modification should be considered. As discussed before, the beam shaping/merge/split could help to solve the issue of CCO issue, e.g. the coverage hole between the gNBs. Therefore, the per cell state CCO information should be separated with the per SSB state CCO information over Xn.</w:t>
      </w:r>
    </w:p>
    <w:p>
      <w:pPr>
        <w:rPr>
          <w:rFonts w:hint="eastAsia"/>
          <w:sz w:val="20"/>
          <w:szCs w:val="20"/>
          <w:lang w:val="en-US" w:eastAsia="zh-CN"/>
        </w:rPr>
      </w:pPr>
      <w:r>
        <w:rPr>
          <w:rFonts w:hint="eastAsia"/>
          <w:sz w:val="20"/>
          <w:szCs w:val="20"/>
          <w:lang w:val="en-US" w:eastAsia="zh-CN"/>
        </w:rPr>
        <w:t xml:space="preserve">The beam level CCO information should be exchanged between the gNBs, such as the SSB Index, Beam Coverage Status, Beam Deployment Status Indicator and Beam Replacing Info. To be more specific, as a set of beams could be modified together in the real deployment, the SSB Index could refer to a single beam or a set of beams. Similar to the Cell Coverage Status, the detailed value of Beam Coverage Status should be FFS. Alternatively, </w:t>
      </w:r>
      <w:r>
        <w:rPr>
          <w:rFonts w:hint="eastAsia"/>
          <w:sz w:val="20"/>
          <w:szCs w:val="20"/>
          <w:highlight w:val="none"/>
          <w:lang w:val="en-US" w:eastAsia="zh-CN"/>
        </w:rPr>
        <w:t>the Azimuth Angle, Tilt Angle, Horizontal Beam Width and Vertical Beam Width</w:t>
      </w:r>
      <w:r>
        <w:rPr>
          <w:rFonts w:hint="eastAsia"/>
          <w:sz w:val="20"/>
          <w:szCs w:val="20"/>
          <w:lang w:val="en-US" w:eastAsia="zh-CN"/>
        </w:rPr>
        <w:t xml:space="preserve"> could be introduced as the detailed expression of the beam configuration on the top of the Beam Coverage Status. </w:t>
      </w:r>
    </w:p>
    <w:p>
      <w:r>
        <w:rPr>
          <w:rFonts w:hint="eastAsia"/>
          <w:b/>
          <w:bCs/>
          <w:u w:val="none"/>
          <w:lang w:val="en-US" w:eastAsia="zh-CN"/>
        </w:rPr>
        <w:t>Proposal 3: The beam level CCO information should be separated with the cell level CCO information over Xn.</w:t>
      </w:r>
    </w:p>
    <w:p>
      <w:pPr>
        <w:pStyle w:val="3"/>
        <w:bidi w:val="0"/>
      </w:pPr>
      <w:r>
        <w:rPr>
          <w:rFonts w:hint="eastAsia"/>
          <w:lang w:val="en-US" w:eastAsia="zh-CN"/>
        </w:rPr>
        <w:t>CCO configuration info over F1</w:t>
      </w:r>
    </w:p>
    <w:p>
      <w:pPr>
        <w:rPr>
          <w:rFonts w:hint="eastAsia"/>
          <w:sz w:val="20"/>
          <w:szCs w:val="21"/>
          <w:highlight w:val="none"/>
          <w:lang w:val="en-US" w:eastAsia="zh-CN"/>
        </w:rPr>
      </w:pPr>
      <w:r>
        <w:rPr>
          <w:rFonts w:hint="eastAsia"/>
          <w:sz w:val="20"/>
          <w:szCs w:val="21"/>
          <w:highlight w:val="none"/>
          <w:lang w:val="en-US" w:eastAsia="zh-CN"/>
        </w:rPr>
        <w:t>As the gNB-CU is the centralized control entity of the gNB and receives the measurement report from the UEs, the gNB-CU is able to detect whether the CCO issue exists and decide whether a coverage modification is needed in the gNB.</w:t>
      </w:r>
    </w:p>
    <w:p>
      <w:pPr>
        <w:rPr>
          <w:rFonts w:hint="default"/>
          <w:sz w:val="20"/>
          <w:szCs w:val="21"/>
          <w:highlight w:val="none"/>
          <w:lang w:val="en-US" w:eastAsia="zh-CN"/>
        </w:rPr>
      </w:pPr>
      <w:r>
        <w:rPr>
          <w:rFonts w:hint="eastAsia"/>
          <w:sz w:val="20"/>
          <w:szCs w:val="21"/>
          <w:highlight w:val="none"/>
          <w:lang w:val="en-US" w:eastAsia="zh-CN"/>
        </w:rPr>
        <w:t>Considering the information the gNB-CU should provide to the gNB-DU after detecting the CCO issue, the problem could be classified into capacity issue or coverage issue. And the affected cell/beam list should be also involved. And the details of coverage modification proposed by gNB-CU, including the Coverage Modification List, should be considered. As the gNB-DU has enough capability to obtain the information of the layer 1 and layer 2 and schedule the resources of serving cells or beams, the gNB-DU is able to make autonomous decisions on the coverage modification, even without the proposed coverage modification information from the gNB-CU. After the autonomous decisions by itself, the gNB-DU should provide the coverage modification information back to the gNB-CU.</w:t>
      </w:r>
    </w:p>
    <w:p>
      <w:pPr>
        <w:rPr>
          <w:rFonts w:hint="default"/>
          <w:b/>
          <w:bCs/>
          <w:u w:val="none"/>
          <w:lang w:val="en-US" w:eastAsia="zh-CN"/>
        </w:rPr>
      </w:pPr>
      <w:bookmarkStart w:id="10" w:name="OLE_LINK2"/>
      <w:r>
        <w:rPr>
          <w:rFonts w:hint="eastAsia"/>
          <w:b/>
          <w:bCs/>
          <w:u w:val="none"/>
          <w:lang w:val="en-US" w:eastAsia="zh-CN"/>
        </w:rPr>
        <w:t>Proposal 4: After detecting the CCO issue, the gNB-CU only needs to indicate the type of CCO issue to the gNB-DU with the affected cell or beam list.</w:t>
      </w:r>
    </w:p>
    <w:bookmarkEnd w:id="10"/>
    <w:p>
      <w:pPr>
        <w:rPr>
          <w:rFonts w:hint="default"/>
          <w:b w:val="0"/>
          <w:bCs w:val="0"/>
          <w:u w:val="none"/>
          <w:lang w:val="en-US" w:eastAsia="zh-CN"/>
        </w:rPr>
      </w:pPr>
      <w:r>
        <w:rPr>
          <w:rFonts w:hint="eastAsia"/>
          <w:b w:val="0"/>
          <w:bCs w:val="0"/>
          <w:u w:val="none"/>
          <w:lang w:val="en-US" w:eastAsia="zh-CN"/>
        </w:rPr>
        <w:t>Similar as Xn, both the cell level and beam level CCO information should be exchanged over F1, as the cell coverage modification information and beam coverage modification information are configured by gNB-DU. The cell level and beam level CCO information should be transmitted for gNB-DU to gNB-CU. And the detailed CCO information over F1 should be aligned with the information over Xn.</w:t>
      </w:r>
    </w:p>
    <w:p>
      <w:pPr>
        <w:rPr>
          <w:rFonts w:hint="eastAsia"/>
          <w:b/>
          <w:bCs/>
          <w:u w:val="none"/>
          <w:lang w:val="en-US" w:eastAsia="zh-CN"/>
        </w:rPr>
      </w:pPr>
      <w:bookmarkStart w:id="11" w:name="OLE_LINK5"/>
      <w:r>
        <w:rPr>
          <w:rFonts w:hint="eastAsia"/>
          <w:b/>
          <w:bCs/>
          <w:u w:val="none"/>
          <w:lang w:val="en-US" w:eastAsia="zh-CN"/>
        </w:rPr>
        <w:t>Proposal 5: Both the cell level and beam level CCO information should be transmitted from gNB-DU to gNB-CU.</w:t>
      </w:r>
      <w:bookmarkEnd w:id="11"/>
    </w:p>
    <w:p>
      <w:pPr>
        <w:pStyle w:val="3"/>
        <w:bidi w:val="0"/>
      </w:pPr>
      <w:r>
        <w:rPr>
          <w:rFonts w:hint="eastAsia"/>
          <w:lang w:val="en-US" w:eastAsia="zh-CN"/>
        </w:rPr>
        <w:t>UL Measurements for CCO</w:t>
      </w:r>
    </w:p>
    <w:p>
      <w:pPr>
        <w:rPr>
          <w:rFonts w:hint="eastAsia"/>
          <w:b w:val="0"/>
          <w:bCs w:val="0"/>
          <w:u w:val="none"/>
          <w:lang w:val="en-US" w:eastAsia="zh-CN"/>
        </w:rPr>
      </w:pPr>
      <w:r>
        <w:rPr>
          <w:rFonts w:hint="eastAsia"/>
          <w:b w:val="0"/>
          <w:bCs w:val="0"/>
          <w:u w:val="none"/>
          <w:lang w:val="en-US" w:eastAsia="zh-CN"/>
        </w:rPr>
        <w:t xml:space="preserve">In last meeting, whether the UL measurements are needed in the Resource Status Update procedure has been discussed. It seems to be a common understanding that the DL measurement and UL measurement could be different due to the different interference situation or sources in DL and UL. In NR, the DL measurement could be obtained by the measurement reports from UE to the gNB-CU, while for the UL measurement, there is no explicit signalling from the gNB-DU to the gNB-CU. In detail, the UL measurement could consist of UL SINR, UL Interference Levels and UL Signal Level. </w:t>
      </w:r>
    </w:p>
    <w:p>
      <w:pPr>
        <w:rPr>
          <w:rFonts w:hint="default"/>
          <w:b w:val="0"/>
          <w:bCs w:val="0"/>
          <w:u w:val="none"/>
          <w:lang w:val="en-US" w:eastAsia="zh-CN"/>
        </w:rPr>
      </w:pPr>
      <w:r>
        <w:rPr>
          <w:rFonts w:hint="eastAsia"/>
          <w:b w:val="0"/>
          <w:bCs w:val="0"/>
          <w:u w:val="none"/>
          <w:lang w:val="en-US" w:eastAsia="zh-CN"/>
        </w:rPr>
        <w:t>Although the UL measurements could help the gNB-CU to detect the CCO issues, this measurement should be UE level rather than cell level as the DL measurements. How the gNB-CU use this measurement should be clarified.</w:t>
      </w:r>
    </w:p>
    <w:p>
      <w:pPr>
        <w:rPr>
          <w:rFonts w:hint="default"/>
          <w:b w:val="0"/>
          <w:bCs w:val="0"/>
          <w:u w:val="none"/>
          <w:lang w:val="en-US" w:eastAsia="zh-CN"/>
        </w:rPr>
      </w:pPr>
      <w:r>
        <w:rPr>
          <w:rFonts w:hint="eastAsia"/>
          <w:b/>
          <w:bCs/>
          <w:u w:val="none"/>
          <w:lang w:val="en-US" w:eastAsia="zh-CN"/>
        </w:rPr>
        <w:t>Proposal 6: The details of the UL measurements for CCO should be clarified.</w:t>
      </w:r>
    </w:p>
    <w:p>
      <w:pPr>
        <w:pStyle w:val="2"/>
        <w:rPr>
          <w:lang w:val="en-US"/>
        </w:rPr>
      </w:pPr>
      <w:r>
        <w:rPr>
          <w:rFonts w:hint="eastAsia" w:eastAsia="宋体"/>
          <w:lang w:val="en-US" w:eastAsia="zh-CN"/>
        </w:rPr>
        <w:t>Conclusion</w:t>
      </w:r>
    </w:p>
    <w:p>
      <w:pPr>
        <w:rPr>
          <w:rFonts w:hint="eastAsia"/>
          <w:b/>
          <w:bCs/>
          <w:u w:val="none"/>
          <w:lang w:val="en-US" w:eastAsia="zh-CN"/>
        </w:rPr>
      </w:pPr>
      <w:r>
        <w:rPr>
          <w:rFonts w:hint="eastAsia"/>
          <w:b/>
          <w:bCs/>
          <w:u w:val="none"/>
          <w:lang w:val="en-US" w:eastAsia="zh-CN"/>
        </w:rPr>
        <w:t>Proposal 1: The CCO configuration from OAM should be pending to SA5.</w:t>
      </w:r>
    </w:p>
    <w:p>
      <w:pPr>
        <w:rPr>
          <w:rFonts w:hint="eastAsia"/>
          <w:b/>
          <w:bCs/>
          <w:u w:val="none"/>
          <w:lang w:val="en-US" w:eastAsia="zh-CN"/>
        </w:rPr>
      </w:pPr>
      <w:r>
        <w:rPr>
          <w:rFonts w:hint="eastAsia"/>
          <w:b/>
          <w:bCs/>
          <w:u w:val="none"/>
          <w:lang w:val="en-US" w:eastAsia="zh-CN"/>
        </w:rPr>
        <w:t>Proposal 2: The coverage and cell edge capacity are able to cover the major use cases of the CCO currently.</w:t>
      </w:r>
    </w:p>
    <w:p>
      <w:pPr>
        <w:rPr>
          <w:rFonts w:hint="eastAsia"/>
          <w:b/>
          <w:bCs/>
          <w:u w:val="none"/>
          <w:lang w:val="en-US" w:eastAsia="zh-CN"/>
        </w:rPr>
      </w:pPr>
      <w:r>
        <w:rPr>
          <w:rFonts w:hint="eastAsia"/>
          <w:b/>
          <w:bCs/>
          <w:u w:val="none"/>
          <w:lang w:val="en-US" w:eastAsia="zh-CN"/>
        </w:rPr>
        <w:t>Proposal 3: The beam level CCO information should be separated with the cell level CCO information over Xn.</w:t>
      </w:r>
    </w:p>
    <w:p>
      <w:pPr>
        <w:rPr>
          <w:rFonts w:hint="default"/>
          <w:b/>
          <w:bCs/>
          <w:u w:val="none"/>
          <w:lang w:val="en-US" w:eastAsia="zh-CN"/>
        </w:rPr>
      </w:pPr>
      <w:r>
        <w:rPr>
          <w:rFonts w:hint="eastAsia"/>
          <w:b/>
          <w:bCs/>
          <w:u w:val="none"/>
          <w:lang w:val="en-US" w:eastAsia="zh-CN"/>
        </w:rPr>
        <w:t>Proposal 4: After detecting the CCO issue, the gNB-CU only needs to indicate the type of CCO issue to the gNB-DU with the affected cell or beam list.</w:t>
      </w:r>
    </w:p>
    <w:p>
      <w:pPr>
        <w:rPr>
          <w:rFonts w:hint="eastAsia"/>
          <w:b/>
          <w:bCs/>
          <w:u w:val="none"/>
          <w:lang w:val="en-US" w:eastAsia="zh-CN"/>
        </w:rPr>
      </w:pPr>
      <w:r>
        <w:rPr>
          <w:rFonts w:hint="eastAsia"/>
          <w:b/>
          <w:bCs/>
          <w:u w:val="none"/>
          <w:lang w:val="en-US" w:eastAsia="zh-CN"/>
        </w:rPr>
        <w:t>Proposal 5: Both the cell level and beam level CCO information should be transmitted from gNB-DU to gNB-CU.</w:t>
      </w:r>
    </w:p>
    <w:p>
      <w:pPr>
        <w:rPr>
          <w:rFonts w:hint="default"/>
          <w:b/>
          <w:bCs/>
          <w:u w:val="none"/>
          <w:lang w:val="en-US" w:eastAsia="zh-CN"/>
        </w:rPr>
      </w:pPr>
      <w:r>
        <w:rPr>
          <w:rFonts w:hint="eastAsia"/>
          <w:b/>
          <w:bCs/>
          <w:u w:val="none"/>
          <w:lang w:val="en-US" w:eastAsia="zh-CN"/>
        </w:rPr>
        <w:t>Proposal 6: The details of the UL measurements for CCO should be clarified.</w:t>
      </w:r>
    </w:p>
    <w:p>
      <w:pPr>
        <w:rPr>
          <w:rFonts w:hint="default"/>
          <w:b/>
          <w:bCs/>
          <w:u w:val="none"/>
          <w:lang w:val="en-US" w:eastAsia="zh-CN"/>
        </w:rPr>
      </w:pPr>
      <w:r>
        <w:rPr>
          <w:rFonts w:hint="eastAsia"/>
          <w:b/>
          <w:bCs/>
          <w:u w:val="none"/>
          <w:lang w:val="en-US" w:eastAsia="zh-CN"/>
        </w:rPr>
        <w:t>The corresponding TPs are given in [1], [2] and [3] respectively.</w:t>
      </w:r>
    </w:p>
    <w:p>
      <w:pPr>
        <w:pStyle w:val="2"/>
        <w:rPr>
          <w:lang w:val="en-US"/>
        </w:rPr>
      </w:pPr>
      <w:r>
        <w:rPr>
          <w:rFonts w:hint="eastAsia"/>
          <w:lang w:val="en-US" w:eastAsia="zh-CN"/>
        </w:rPr>
        <w:t xml:space="preserve"> </w:t>
      </w:r>
      <w:r>
        <w:rPr>
          <w:lang w:val="en-US"/>
        </w:rPr>
        <w:t>References</w:t>
      </w:r>
    </w:p>
    <w:p>
      <w:pPr>
        <w:numPr>
          <w:ilvl w:val="0"/>
          <w:numId w:val="12"/>
        </w:numPr>
        <w:ind w:left="0" w:leftChars="0" w:firstLine="0" w:firstLineChars="0"/>
        <w:rPr>
          <w:rFonts w:hint="eastAsia"/>
          <w:iCs/>
          <w:lang w:val="en-US" w:eastAsia="zh-CN"/>
        </w:rPr>
      </w:pPr>
      <w:r>
        <w:rPr>
          <w:rFonts w:hint="eastAsia"/>
          <w:iCs/>
          <w:lang w:val="en-US" w:eastAsia="zh-CN"/>
        </w:rPr>
        <w:t xml:space="preserve">R3-215773 </w:t>
      </w:r>
      <w:r>
        <w:rPr>
          <w:rFonts w:hint="eastAsia" w:ascii="Times New Roman" w:hAnsi="Times New Roman" w:cs="Times New Roman"/>
          <w:iCs/>
          <w:lang w:val="en-US" w:eastAsia="zh-CN"/>
        </w:rPr>
        <w:t>(TP for SON BL CR 38.300) Coverage and Capacity Optimization  ZTE, China Telecom, China Unicom</w:t>
      </w:r>
    </w:p>
    <w:p>
      <w:pPr>
        <w:numPr>
          <w:ilvl w:val="0"/>
          <w:numId w:val="12"/>
        </w:numPr>
        <w:ind w:left="0" w:leftChars="0" w:firstLine="0" w:firstLineChars="0"/>
        <w:rPr>
          <w:rFonts w:hint="eastAsia"/>
          <w:iCs/>
          <w:lang w:val="en-US" w:eastAsia="zh-CN"/>
        </w:rPr>
      </w:pPr>
      <w:r>
        <w:rPr>
          <w:rFonts w:hint="eastAsia"/>
          <w:iCs/>
          <w:lang w:val="en-US" w:eastAsia="zh-CN"/>
        </w:rPr>
        <w:t xml:space="preserve">R3-215774 </w:t>
      </w:r>
      <w:r>
        <w:rPr>
          <w:rFonts w:hint="eastAsia" w:ascii="Times New Roman" w:hAnsi="Times New Roman" w:cs="Times New Roman"/>
          <w:iCs/>
          <w:lang w:val="en-US" w:eastAsia="zh-CN"/>
        </w:rPr>
        <w:t>(TP for SON BL CR 38.423) Coverage and Capacity Optimization  ZTE, China Telecom, China Unicom</w:t>
      </w:r>
      <w:r>
        <w:rPr>
          <w:rFonts w:hint="eastAsia" w:cs="Times New Roman"/>
          <w:iCs/>
          <w:lang w:val="en-US" w:eastAsia="zh-CN"/>
        </w:rPr>
        <w:t>, Lenovo, Motorola Mobility</w:t>
      </w:r>
    </w:p>
    <w:p>
      <w:pPr>
        <w:numPr>
          <w:ilvl w:val="0"/>
          <w:numId w:val="12"/>
        </w:numPr>
        <w:ind w:left="0" w:leftChars="0" w:firstLine="0" w:firstLineChars="0"/>
        <w:rPr>
          <w:rFonts w:hint="eastAsia"/>
          <w:iCs/>
          <w:lang w:val="en-US" w:eastAsia="zh-CN"/>
        </w:rPr>
      </w:pPr>
      <w:r>
        <w:rPr>
          <w:rFonts w:hint="eastAsia"/>
          <w:iCs/>
          <w:lang w:val="en-US" w:eastAsia="zh-CN"/>
        </w:rPr>
        <w:t xml:space="preserve">R3-215775 </w:t>
      </w:r>
      <w:r>
        <w:rPr>
          <w:rFonts w:hint="eastAsia" w:ascii="Times New Roman" w:hAnsi="Times New Roman" w:cs="Times New Roman"/>
          <w:iCs/>
          <w:lang w:val="en-US" w:eastAsia="zh-CN"/>
        </w:rPr>
        <w:t>(TP for SON BL CR 38.473) Coverage and Capacity Optimization  ZTE, China Telecom, China Unicom</w:t>
      </w:r>
      <w:r>
        <w:rPr>
          <w:rFonts w:hint="eastAsia" w:cs="Times New Roman"/>
          <w:iCs/>
          <w:lang w:val="en-US" w:eastAsia="zh-CN"/>
        </w:rPr>
        <w:t>, Lenovo, Motorola Mobility</w:t>
      </w:r>
      <w:bookmarkStart w:id="12" w:name="_GoBack"/>
      <w:bookmarkEnd w:id="12"/>
    </w:p>
    <w:p>
      <w:pPr>
        <w:numPr>
          <w:ilvl w:val="0"/>
          <w:numId w:val="0"/>
        </w:numPr>
        <w:rPr>
          <w:rFonts w:hint="eastAsia"/>
          <w:iCs/>
          <w:lang w:val="en-US" w:eastAsia="zh-CN"/>
        </w:rPr>
      </w:pPr>
    </w:p>
    <w:sectPr>
      <w:footerReference r:id="rId3" w:type="default"/>
      <w:footerReference r:id="rId4" w:type="even"/>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Yu Mincho">
    <w:altName w:val="Yu Gothic UI"/>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3</w:t>
    </w:r>
    <w:r>
      <w:fldChar w:fldCharType="end"/>
    </w:r>
  </w:p>
  <w:p>
    <w:pPr>
      <w:pStyle w:val="3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1</w:t>
    </w:r>
    <w:r>
      <w:fldChar w:fldCharType="end"/>
    </w:r>
  </w:p>
  <w:p>
    <w:pPr>
      <w:pStyle w:val="3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2D229E"/>
    <w:multiLevelType w:val="singleLevel"/>
    <w:tmpl w:val="DE2D229E"/>
    <w:lvl w:ilvl="0" w:tentative="0">
      <w:start w:val="1"/>
      <w:numFmt w:val="decimal"/>
      <w:suff w:val="space"/>
      <w:lvlText w:val="[%1]"/>
      <w:lvlJc w:val="left"/>
    </w:lvl>
  </w:abstractNum>
  <w:abstractNum w:abstractNumId="1">
    <w:nsid w:val="0A5341F7"/>
    <w:multiLevelType w:val="singleLevel"/>
    <w:tmpl w:val="0A5341F7"/>
    <w:lvl w:ilvl="0" w:tentative="0">
      <w:start w:val="1"/>
      <w:numFmt w:val="decimal"/>
      <w:pStyle w:val="83"/>
      <w:lvlText w:val="[%1]"/>
      <w:lvlJc w:val="left"/>
      <w:pPr>
        <w:tabs>
          <w:tab w:val="left" w:pos="567"/>
        </w:tabs>
        <w:ind w:left="567" w:hanging="567"/>
      </w:pPr>
      <w:rPr>
        <w:rFonts w:hint="default"/>
      </w:rPr>
    </w:lvl>
  </w:abstractNum>
  <w:abstractNum w:abstractNumId="2">
    <w:nsid w:val="3AA46647"/>
    <w:multiLevelType w:val="multilevel"/>
    <w:tmpl w:val="3AA46647"/>
    <w:lvl w:ilvl="0" w:tentative="0">
      <w:start w:val="1"/>
      <w:numFmt w:val="decimal"/>
      <w:pStyle w:val="13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44F59F0"/>
    <w:multiLevelType w:val="multilevel"/>
    <w:tmpl w:val="444F59F0"/>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none"/>
      <w:pStyle w:val="5"/>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pStyle w:val="6"/>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4">
    <w:nsid w:val="464D3319"/>
    <w:multiLevelType w:val="multilevel"/>
    <w:tmpl w:val="464D3319"/>
    <w:lvl w:ilvl="0" w:tentative="0">
      <w:start w:val="1"/>
      <w:numFmt w:val="decimal"/>
      <w:pStyle w:val="89"/>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5">
    <w:nsid w:val="4A55685D"/>
    <w:multiLevelType w:val="singleLevel"/>
    <w:tmpl w:val="4A55685D"/>
    <w:lvl w:ilvl="0" w:tentative="0">
      <w:start w:val="1"/>
      <w:numFmt w:val="bullet"/>
      <w:pStyle w:val="104"/>
      <w:lvlText w:val=""/>
      <w:lvlJc w:val="left"/>
      <w:pPr>
        <w:tabs>
          <w:tab w:val="left" w:pos="992"/>
        </w:tabs>
        <w:ind w:left="992" w:hanging="425"/>
      </w:pPr>
      <w:rPr>
        <w:rFonts w:hint="default" w:ascii="Symbol" w:hAnsi="Symbol"/>
      </w:rPr>
    </w:lvl>
  </w:abstractNum>
  <w:abstractNum w:abstractNumId="6">
    <w:nsid w:val="4B1F283C"/>
    <w:multiLevelType w:val="singleLevel"/>
    <w:tmpl w:val="4B1F283C"/>
    <w:lvl w:ilvl="0" w:tentative="0">
      <w:start w:val="1"/>
      <w:numFmt w:val="bullet"/>
      <w:pStyle w:val="88"/>
      <w:lvlText w:val=""/>
      <w:lvlJc w:val="left"/>
      <w:pPr>
        <w:tabs>
          <w:tab w:val="left" w:pos="1843"/>
        </w:tabs>
        <w:ind w:left="1843" w:hanging="425"/>
      </w:pPr>
      <w:rPr>
        <w:rFonts w:hint="default" w:ascii="Symbol" w:hAnsi="Symbol"/>
      </w:rPr>
    </w:lvl>
  </w:abstractNum>
  <w:abstractNum w:abstractNumId="7">
    <w:nsid w:val="52623347"/>
    <w:multiLevelType w:val="multilevel"/>
    <w:tmpl w:val="52623347"/>
    <w:lvl w:ilvl="0" w:tentative="0">
      <w:start w:val="3"/>
      <w:numFmt w:val="bullet"/>
      <w:lvlText w:val="-"/>
      <w:lvlJc w:val="left"/>
      <w:pPr>
        <w:ind w:left="720" w:hanging="360"/>
      </w:pPr>
      <w:rPr>
        <w:rFonts w:hint="default" w:ascii="Calibri" w:hAnsi="Calibri" w:eastAsia="Yu Mincho" w:cs="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F1D6A21"/>
    <w:multiLevelType w:val="singleLevel"/>
    <w:tmpl w:val="6F1D6A21"/>
    <w:lvl w:ilvl="0" w:tentative="0">
      <w:start w:val="1"/>
      <w:numFmt w:val="decimal"/>
      <w:pStyle w:val="86"/>
      <w:lvlText w:val="[%1]"/>
      <w:lvlJc w:val="left"/>
      <w:pPr>
        <w:tabs>
          <w:tab w:val="left" w:pos="360"/>
        </w:tabs>
        <w:ind w:left="360" w:hanging="360"/>
      </w:pPr>
      <w:rPr>
        <w:rFonts w:hint="default" w:ascii="Times New Roman" w:hAnsi="Times New Roman"/>
        <w:sz w:val="18"/>
      </w:rPr>
    </w:lvl>
  </w:abstractNum>
  <w:abstractNum w:abstractNumId="9">
    <w:nsid w:val="78F76F6F"/>
    <w:multiLevelType w:val="singleLevel"/>
    <w:tmpl w:val="78F76F6F"/>
    <w:lvl w:ilvl="0" w:tentative="0">
      <w:start w:val="1"/>
      <w:numFmt w:val="bullet"/>
      <w:pStyle w:val="91"/>
      <w:lvlText w:val=""/>
      <w:lvlJc w:val="left"/>
      <w:pPr>
        <w:tabs>
          <w:tab w:val="left" w:pos="360"/>
        </w:tabs>
        <w:ind w:left="360" w:hanging="360"/>
      </w:pPr>
      <w:rPr>
        <w:rFonts w:hint="default" w:ascii="Symbol" w:hAnsi="Symbol"/>
      </w:rPr>
    </w:lvl>
  </w:abstractNum>
  <w:abstractNum w:abstractNumId="10">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78"/>
      <w:lvlText w:val=""/>
      <w:lvlJc w:val="left"/>
      <w:pPr>
        <w:tabs>
          <w:tab w:val="left" w:pos="1418"/>
        </w:tabs>
        <w:ind w:left="1418" w:hanging="426"/>
      </w:pPr>
      <w:rPr>
        <w:rFonts w:hint="default" w:ascii="Wingdings" w:hAnsi="Wingdings"/>
      </w:rPr>
    </w:lvl>
  </w:abstractNum>
  <w:num w:numId="1">
    <w:abstractNumId w:val="3"/>
  </w:num>
  <w:num w:numId="2">
    <w:abstractNumId w:val="10"/>
  </w:num>
  <w:num w:numId="3">
    <w:abstractNumId w:val="11"/>
  </w:num>
  <w:num w:numId="4">
    <w:abstractNumId w:val="1"/>
  </w:num>
  <w:num w:numId="5">
    <w:abstractNumId w:val="8"/>
  </w:num>
  <w:num w:numId="6">
    <w:abstractNumId w:val="6"/>
  </w:num>
  <w:num w:numId="7">
    <w:abstractNumId w:val="4"/>
  </w:num>
  <w:num w:numId="8">
    <w:abstractNumId w:val="9"/>
  </w:num>
  <w:num w:numId="9">
    <w:abstractNumId w:val="5"/>
  </w:num>
  <w:num w:numId="10">
    <w:abstractNumId w:val="2"/>
  </w:num>
  <w:num w:numId="11">
    <w:abstractNumId w:val="7"/>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41BE4"/>
    <w:rsid w:val="00041D42"/>
    <w:rsid w:val="00044810"/>
    <w:rsid w:val="000449AB"/>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6CE4"/>
    <w:rsid w:val="00137347"/>
    <w:rsid w:val="00137431"/>
    <w:rsid w:val="0014028F"/>
    <w:rsid w:val="00141210"/>
    <w:rsid w:val="00141281"/>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74AC"/>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7EF9"/>
    <w:rsid w:val="00330243"/>
    <w:rsid w:val="00330702"/>
    <w:rsid w:val="003309B5"/>
    <w:rsid w:val="00330D07"/>
    <w:rsid w:val="003324CA"/>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C3B"/>
    <w:rsid w:val="003B32A8"/>
    <w:rsid w:val="003B3944"/>
    <w:rsid w:val="003B3D3F"/>
    <w:rsid w:val="003B4DE5"/>
    <w:rsid w:val="003B6F60"/>
    <w:rsid w:val="003C01D0"/>
    <w:rsid w:val="003C0EC2"/>
    <w:rsid w:val="003C11BF"/>
    <w:rsid w:val="003C41AD"/>
    <w:rsid w:val="003C5416"/>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66D7"/>
    <w:rsid w:val="0042041D"/>
    <w:rsid w:val="00420E85"/>
    <w:rsid w:val="00422361"/>
    <w:rsid w:val="004248E4"/>
    <w:rsid w:val="00424A6E"/>
    <w:rsid w:val="0042518E"/>
    <w:rsid w:val="00425C86"/>
    <w:rsid w:val="00427182"/>
    <w:rsid w:val="0042757D"/>
    <w:rsid w:val="00427E8F"/>
    <w:rsid w:val="00430798"/>
    <w:rsid w:val="004307D6"/>
    <w:rsid w:val="0043174A"/>
    <w:rsid w:val="00431AF1"/>
    <w:rsid w:val="0043241F"/>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1563"/>
    <w:rsid w:val="004B1A41"/>
    <w:rsid w:val="004B1B6A"/>
    <w:rsid w:val="004B2DFA"/>
    <w:rsid w:val="004B35BE"/>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232E"/>
    <w:rsid w:val="004E40B5"/>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5529"/>
    <w:rsid w:val="005956CB"/>
    <w:rsid w:val="00597D0E"/>
    <w:rsid w:val="00597DC8"/>
    <w:rsid w:val="005A019B"/>
    <w:rsid w:val="005A0A04"/>
    <w:rsid w:val="005A25E6"/>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1E0D"/>
    <w:rsid w:val="005D2A78"/>
    <w:rsid w:val="005D39FE"/>
    <w:rsid w:val="005D4727"/>
    <w:rsid w:val="005D483D"/>
    <w:rsid w:val="005E071C"/>
    <w:rsid w:val="005E0F93"/>
    <w:rsid w:val="005E1CB1"/>
    <w:rsid w:val="005E2A8D"/>
    <w:rsid w:val="005E4783"/>
    <w:rsid w:val="005E53C6"/>
    <w:rsid w:val="005E5F00"/>
    <w:rsid w:val="005E64E3"/>
    <w:rsid w:val="005E70BA"/>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90103"/>
    <w:rsid w:val="00691125"/>
    <w:rsid w:val="00691164"/>
    <w:rsid w:val="0069287F"/>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C14EF"/>
    <w:rsid w:val="007C2999"/>
    <w:rsid w:val="007C4846"/>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4053"/>
    <w:rsid w:val="007F4CA8"/>
    <w:rsid w:val="007F56AA"/>
    <w:rsid w:val="007F6086"/>
    <w:rsid w:val="007F7B88"/>
    <w:rsid w:val="00800B23"/>
    <w:rsid w:val="008017BA"/>
    <w:rsid w:val="0080186E"/>
    <w:rsid w:val="00802D51"/>
    <w:rsid w:val="00803D8B"/>
    <w:rsid w:val="00804182"/>
    <w:rsid w:val="0080495B"/>
    <w:rsid w:val="00806184"/>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78E1"/>
    <w:rsid w:val="00850445"/>
    <w:rsid w:val="008523B4"/>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548C"/>
    <w:rsid w:val="00975C43"/>
    <w:rsid w:val="00977B32"/>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7E30"/>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43B5"/>
    <w:rsid w:val="00A05FE4"/>
    <w:rsid w:val="00A06447"/>
    <w:rsid w:val="00A073EE"/>
    <w:rsid w:val="00A11027"/>
    <w:rsid w:val="00A1392E"/>
    <w:rsid w:val="00A1493F"/>
    <w:rsid w:val="00A14D57"/>
    <w:rsid w:val="00A150D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FBB"/>
    <w:rsid w:val="00A651EF"/>
    <w:rsid w:val="00A6639A"/>
    <w:rsid w:val="00A708C4"/>
    <w:rsid w:val="00A71E21"/>
    <w:rsid w:val="00A71E79"/>
    <w:rsid w:val="00A734A6"/>
    <w:rsid w:val="00A73622"/>
    <w:rsid w:val="00A74827"/>
    <w:rsid w:val="00A74BCB"/>
    <w:rsid w:val="00A767C5"/>
    <w:rsid w:val="00A77A4C"/>
    <w:rsid w:val="00A80344"/>
    <w:rsid w:val="00A81E6D"/>
    <w:rsid w:val="00A81F24"/>
    <w:rsid w:val="00A834BF"/>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451"/>
    <w:rsid w:val="00AF4AF0"/>
    <w:rsid w:val="00AF5872"/>
    <w:rsid w:val="00AF655D"/>
    <w:rsid w:val="00AF6DF6"/>
    <w:rsid w:val="00AF798B"/>
    <w:rsid w:val="00AF7AA3"/>
    <w:rsid w:val="00B00EB0"/>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6A33"/>
    <w:rsid w:val="00C175EC"/>
    <w:rsid w:val="00C1799E"/>
    <w:rsid w:val="00C2147D"/>
    <w:rsid w:val="00C2173B"/>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CDD"/>
    <w:rsid w:val="00CC15D3"/>
    <w:rsid w:val="00CC265B"/>
    <w:rsid w:val="00CC37B6"/>
    <w:rsid w:val="00CC4C9C"/>
    <w:rsid w:val="00CC5282"/>
    <w:rsid w:val="00CC7441"/>
    <w:rsid w:val="00CD3ACC"/>
    <w:rsid w:val="00CD4993"/>
    <w:rsid w:val="00CD49C1"/>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512F9"/>
    <w:rsid w:val="00D513BC"/>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915"/>
    <w:rsid w:val="00D75FF5"/>
    <w:rsid w:val="00D76699"/>
    <w:rsid w:val="00D77E6F"/>
    <w:rsid w:val="00D80242"/>
    <w:rsid w:val="00D811E8"/>
    <w:rsid w:val="00D81F38"/>
    <w:rsid w:val="00D823A9"/>
    <w:rsid w:val="00D825C4"/>
    <w:rsid w:val="00D82889"/>
    <w:rsid w:val="00D831FA"/>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5B30"/>
    <w:rsid w:val="00DB638F"/>
    <w:rsid w:val="00DC04B0"/>
    <w:rsid w:val="00DC0A6F"/>
    <w:rsid w:val="00DC0FB3"/>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C61"/>
    <w:rsid w:val="00E17EE2"/>
    <w:rsid w:val="00E201F0"/>
    <w:rsid w:val="00E2140F"/>
    <w:rsid w:val="00E21B40"/>
    <w:rsid w:val="00E22E50"/>
    <w:rsid w:val="00E22EA1"/>
    <w:rsid w:val="00E23599"/>
    <w:rsid w:val="00E236BF"/>
    <w:rsid w:val="00E2396A"/>
    <w:rsid w:val="00E23F77"/>
    <w:rsid w:val="00E2797A"/>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1250"/>
    <w:rsid w:val="00E627DA"/>
    <w:rsid w:val="00E62AB5"/>
    <w:rsid w:val="00E631F5"/>
    <w:rsid w:val="00E6326C"/>
    <w:rsid w:val="00E63DC3"/>
    <w:rsid w:val="00E64129"/>
    <w:rsid w:val="00E645EE"/>
    <w:rsid w:val="00E64FC3"/>
    <w:rsid w:val="00E65277"/>
    <w:rsid w:val="00E654F9"/>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376"/>
    <w:rsid w:val="00E838F3"/>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80CFF"/>
    <w:rsid w:val="00F8235B"/>
    <w:rsid w:val="00F82E63"/>
    <w:rsid w:val="00F83C1A"/>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46C3"/>
    <w:rsid w:val="00FF5528"/>
    <w:rsid w:val="00FF6704"/>
    <w:rsid w:val="00FF7809"/>
    <w:rsid w:val="00FF7818"/>
    <w:rsid w:val="00FF7FC6"/>
    <w:rsid w:val="011870D4"/>
    <w:rsid w:val="0202098C"/>
    <w:rsid w:val="02067D25"/>
    <w:rsid w:val="02154FB4"/>
    <w:rsid w:val="023A5561"/>
    <w:rsid w:val="02C348AF"/>
    <w:rsid w:val="02E508F1"/>
    <w:rsid w:val="03036082"/>
    <w:rsid w:val="031166FF"/>
    <w:rsid w:val="031E1EF9"/>
    <w:rsid w:val="03527998"/>
    <w:rsid w:val="03AD4513"/>
    <w:rsid w:val="03B03B06"/>
    <w:rsid w:val="03F52CEF"/>
    <w:rsid w:val="04527F4D"/>
    <w:rsid w:val="0479015E"/>
    <w:rsid w:val="04EE3942"/>
    <w:rsid w:val="04F53A82"/>
    <w:rsid w:val="05253D45"/>
    <w:rsid w:val="05301E24"/>
    <w:rsid w:val="053E05B8"/>
    <w:rsid w:val="0544747D"/>
    <w:rsid w:val="05B96C7C"/>
    <w:rsid w:val="05D50322"/>
    <w:rsid w:val="060F484E"/>
    <w:rsid w:val="06883CAF"/>
    <w:rsid w:val="06923FF0"/>
    <w:rsid w:val="06A277E5"/>
    <w:rsid w:val="06DD4767"/>
    <w:rsid w:val="06F87FBB"/>
    <w:rsid w:val="070B03C5"/>
    <w:rsid w:val="072865DE"/>
    <w:rsid w:val="07734381"/>
    <w:rsid w:val="077461F2"/>
    <w:rsid w:val="08094020"/>
    <w:rsid w:val="080B5EA9"/>
    <w:rsid w:val="083B53D3"/>
    <w:rsid w:val="084B3279"/>
    <w:rsid w:val="09372C01"/>
    <w:rsid w:val="095E1308"/>
    <w:rsid w:val="098163FE"/>
    <w:rsid w:val="09971C46"/>
    <w:rsid w:val="099D214A"/>
    <w:rsid w:val="09BD6FFC"/>
    <w:rsid w:val="09BF47D7"/>
    <w:rsid w:val="09CB4714"/>
    <w:rsid w:val="0A09524D"/>
    <w:rsid w:val="0A6213B0"/>
    <w:rsid w:val="0A6F39E4"/>
    <w:rsid w:val="0A700F10"/>
    <w:rsid w:val="0A8E551C"/>
    <w:rsid w:val="0A914C00"/>
    <w:rsid w:val="0AFF7F3A"/>
    <w:rsid w:val="0B3C3ADE"/>
    <w:rsid w:val="0B512DF0"/>
    <w:rsid w:val="0B536C39"/>
    <w:rsid w:val="0BAE05C6"/>
    <w:rsid w:val="0BFD6E3C"/>
    <w:rsid w:val="0CB15F5E"/>
    <w:rsid w:val="0CC50E7E"/>
    <w:rsid w:val="0CE160A7"/>
    <w:rsid w:val="0CFE386A"/>
    <w:rsid w:val="0D141594"/>
    <w:rsid w:val="0D6538E9"/>
    <w:rsid w:val="0D7C5BB3"/>
    <w:rsid w:val="0DDA7430"/>
    <w:rsid w:val="0DF64E42"/>
    <w:rsid w:val="0E3D33BE"/>
    <w:rsid w:val="0E553C0E"/>
    <w:rsid w:val="0E7C383F"/>
    <w:rsid w:val="0EA27BCF"/>
    <w:rsid w:val="0EBB48B5"/>
    <w:rsid w:val="0EE42A91"/>
    <w:rsid w:val="0F06106E"/>
    <w:rsid w:val="0F1C4F64"/>
    <w:rsid w:val="0F3323EA"/>
    <w:rsid w:val="0F8B762D"/>
    <w:rsid w:val="0F980997"/>
    <w:rsid w:val="0FB4147F"/>
    <w:rsid w:val="1022760D"/>
    <w:rsid w:val="104616BD"/>
    <w:rsid w:val="10697B06"/>
    <w:rsid w:val="10CC33DF"/>
    <w:rsid w:val="11612417"/>
    <w:rsid w:val="11C34770"/>
    <w:rsid w:val="11D65330"/>
    <w:rsid w:val="11DB6749"/>
    <w:rsid w:val="124640E0"/>
    <w:rsid w:val="124B1E28"/>
    <w:rsid w:val="12566DA1"/>
    <w:rsid w:val="125C578E"/>
    <w:rsid w:val="125F606D"/>
    <w:rsid w:val="12B73388"/>
    <w:rsid w:val="12CC6A06"/>
    <w:rsid w:val="12D10D26"/>
    <w:rsid w:val="12E7003A"/>
    <w:rsid w:val="13110A16"/>
    <w:rsid w:val="13187E00"/>
    <w:rsid w:val="135B57AA"/>
    <w:rsid w:val="136A6B2D"/>
    <w:rsid w:val="13B15BC5"/>
    <w:rsid w:val="13E827EF"/>
    <w:rsid w:val="141B1F86"/>
    <w:rsid w:val="14336A4B"/>
    <w:rsid w:val="144E1357"/>
    <w:rsid w:val="14951399"/>
    <w:rsid w:val="149F04AF"/>
    <w:rsid w:val="14A5762D"/>
    <w:rsid w:val="152057CA"/>
    <w:rsid w:val="152131F1"/>
    <w:rsid w:val="15653C9E"/>
    <w:rsid w:val="1587329E"/>
    <w:rsid w:val="15880CC4"/>
    <w:rsid w:val="15896B26"/>
    <w:rsid w:val="15C70B6F"/>
    <w:rsid w:val="16AE4662"/>
    <w:rsid w:val="16E240B0"/>
    <w:rsid w:val="17B370F1"/>
    <w:rsid w:val="17C421A8"/>
    <w:rsid w:val="18092532"/>
    <w:rsid w:val="1828006B"/>
    <w:rsid w:val="18737782"/>
    <w:rsid w:val="188A5116"/>
    <w:rsid w:val="18B34793"/>
    <w:rsid w:val="18D2576B"/>
    <w:rsid w:val="19330C86"/>
    <w:rsid w:val="19A868A4"/>
    <w:rsid w:val="19CD3CB3"/>
    <w:rsid w:val="19D95F60"/>
    <w:rsid w:val="19F36379"/>
    <w:rsid w:val="1A9E2F24"/>
    <w:rsid w:val="1AB030FC"/>
    <w:rsid w:val="1ACD302C"/>
    <w:rsid w:val="1B190D1A"/>
    <w:rsid w:val="1B58522B"/>
    <w:rsid w:val="1B7827A3"/>
    <w:rsid w:val="1BEB35C2"/>
    <w:rsid w:val="1C2F2E71"/>
    <w:rsid w:val="1C4E5E77"/>
    <w:rsid w:val="1CB20503"/>
    <w:rsid w:val="1D3104F4"/>
    <w:rsid w:val="1D441457"/>
    <w:rsid w:val="1D80524C"/>
    <w:rsid w:val="1D8D2067"/>
    <w:rsid w:val="1D947C8B"/>
    <w:rsid w:val="1D9E3112"/>
    <w:rsid w:val="1DB42A5C"/>
    <w:rsid w:val="1DC67C28"/>
    <w:rsid w:val="1DD16964"/>
    <w:rsid w:val="1DD60742"/>
    <w:rsid w:val="1E28282F"/>
    <w:rsid w:val="1E39145D"/>
    <w:rsid w:val="1E3A09B8"/>
    <w:rsid w:val="1E5602F2"/>
    <w:rsid w:val="1ED05EDB"/>
    <w:rsid w:val="1F1851E0"/>
    <w:rsid w:val="1F186234"/>
    <w:rsid w:val="1F2A1FDC"/>
    <w:rsid w:val="1F5348EF"/>
    <w:rsid w:val="1F656847"/>
    <w:rsid w:val="1F947C76"/>
    <w:rsid w:val="1FD56E16"/>
    <w:rsid w:val="20255CCF"/>
    <w:rsid w:val="205158FB"/>
    <w:rsid w:val="20736B2F"/>
    <w:rsid w:val="20A43B92"/>
    <w:rsid w:val="20DA4D43"/>
    <w:rsid w:val="21007028"/>
    <w:rsid w:val="211A120E"/>
    <w:rsid w:val="2148646C"/>
    <w:rsid w:val="215C1869"/>
    <w:rsid w:val="21690C34"/>
    <w:rsid w:val="217C4881"/>
    <w:rsid w:val="219A638D"/>
    <w:rsid w:val="21F15BD9"/>
    <w:rsid w:val="22064DB8"/>
    <w:rsid w:val="222F1F71"/>
    <w:rsid w:val="226C2838"/>
    <w:rsid w:val="2272111D"/>
    <w:rsid w:val="238E7F9D"/>
    <w:rsid w:val="23AC0648"/>
    <w:rsid w:val="23B12D8D"/>
    <w:rsid w:val="23D40B74"/>
    <w:rsid w:val="23E05107"/>
    <w:rsid w:val="241A3DCD"/>
    <w:rsid w:val="24280C7A"/>
    <w:rsid w:val="24294579"/>
    <w:rsid w:val="2443739B"/>
    <w:rsid w:val="24503223"/>
    <w:rsid w:val="24835949"/>
    <w:rsid w:val="24B008D6"/>
    <w:rsid w:val="24F777F0"/>
    <w:rsid w:val="255270B3"/>
    <w:rsid w:val="256E3041"/>
    <w:rsid w:val="258A3006"/>
    <w:rsid w:val="25913F66"/>
    <w:rsid w:val="25D543C7"/>
    <w:rsid w:val="25E25B1B"/>
    <w:rsid w:val="25F53E66"/>
    <w:rsid w:val="263249FA"/>
    <w:rsid w:val="265C0D26"/>
    <w:rsid w:val="26B023A3"/>
    <w:rsid w:val="26BB7E1A"/>
    <w:rsid w:val="26E160D7"/>
    <w:rsid w:val="271C1B98"/>
    <w:rsid w:val="278003A7"/>
    <w:rsid w:val="278C7A9D"/>
    <w:rsid w:val="28084331"/>
    <w:rsid w:val="28F9779E"/>
    <w:rsid w:val="290B3E66"/>
    <w:rsid w:val="293B0D57"/>
    <w:rsid w:val="29804F06"/>
    <w:rsid w:val="29822ABC"/>
    <w:rsid w:val="29C02A00"/>
    <w:rsid w:val="29DA1FC7"/>
    <w:rsid w:val="2A0C40E9"/>
    <w:rsid w:val="2A203609"/>
    <w:rsid w:val="2A3B53AB"/>
    <w:rsid w:val="2A4A6563"/>
    <w:rsid w:val="2A845CCD"/>
    <w:rsid w:val="2AA05A87"/>
    <w:rsid w:val="2AB47994"/>
    <w:rsid w:val="2ABB039F"/>
    <w:rsid w:val="2ACC2994"/>
    <w:rsid w:val="2ACD6D42"/>
    <w:rsid w:val="2AD300F9"/>
    <w:rsid w:val="2ADC7BAE"/>
    <w:rsid w:val="2B027322"/>
    <w:rsid w:val="2B1B0895"/>
    <w:rsid w:val="2B6942D8"/>
    <w:rsid w:val="2B7D3D7A"/>
    <w:rsid w:val="2BA24BC4"/>
    <w:rsid w:val="2BA31DEF"/>
    <w:rsid w:val="2BFB214F"/>
    <w:rsid w:val="2C0025CA"/>
    <w:rsid w:val="2C1E7032"/>
    <w:rsid w:val="2C3510D6"/>
    <w:rsid w:val="2C3C196E"/>
    <w:rsid w:val="2C513B78"/>
    <w:rsid w:val="2C7868F4"/>
    <w:rsid w:val="2C7A6A33"/>
    <w:rsid w:val="2C8B137A"/>
    <w:rsid w:val="2C964CB2"/>
    <w:rsid w:val="2CAF08F7"/>
    <w:rsid w:val="2CBA7F21"/>
    <w:rsid w:val="2D4C1636"/>
    <w:rsid w:val="2D4E266A"/>
    <w:rsid w:val="2D5A6D9B"/>
    <w:rsid w:val="2DB40F60"/>
    <w:rsid w:val="2E2F6AFD"/>
    <w:rsid w:val="2E4E2817"/>
    <w:rsid w:val="2E6D1182"/>
    <w:rsid w:val="2E7528B1"/>
    <w:rsid w:val="2EC36F08"/>
    <w:rsid w:val="2EEE69D4"/>
    <w:rsid w:val="2F382857"/>
    <w:rsid w:val="2F550CAE"/>
    <w:rsid w:val="2FB46F0C"/>
    <w:rsid w:val="2FE62409"/>
    <w:rsid w:val="2FF61694"/>
    <w:rsid w:val="303655F3"/>
    <w:rsid w:val="303969A8"/>
    <w:rsid w:val="306B0B80"/>
    <w:rsid w:val="30BF03AE"/>
    <w:rsid w:val="30E44BBF"/>
    <w:rsid w:val="30E47FAC"/>
    <w:rsid w:val="318B2428"/>
    <w:rsid w:val="31B1536D"/>
    <w:rsid w:val="31BB5F47"/>
    <w:rsid w:val="31DD2EE0"/>
    <w:rsid w:val="31E54763"/>
    <w:rsid w:val="32391713"/>
    <w:rsid w:val="323C5FF4"/>
    <w:rsid w:val="323F73F9"/>
    <w:rsid w:val="32571698"/>
    <w:rsid w:val="32612FE2"/>
    <w:rsid w:val="32872C29"/>
    <w:rsid w:val="32A12D4A"/>
    <w:rsid w:val="32B91B4A"/>
    <w:rsid w:val="32CF4786"/>
    <w:rsid w:val="32F153B4"/>
    <w:rsid w:val="334A10A6"/>
    <w:rsid w:val="33543A69"/>
    <w:rsid w:val="335A6A39"/>
    <w:rsid w:val="339027E3"/>
    <w:rsid w:val="33F812D5"/>
    <w:rsid w:val="340B44DD"/>
    <w:rsid w:val="34395DF7"/>
    <w:rsid w:val="349C2E34"/>
    <w:rsid w:val="35152212"/>
    <w:rsid w:val="356269E0"/>
    <w:rsid w:val="356548E6"/>
    <w:rsid w:val="35795D13"/>
    <w:rsid w:val="358D4E45"/>
    <w:rsid w:val="35C70A66"/>
    <w:rsid w:val="35F52BA2"/>
    <w:rsid w:val="35F567B5"/>
    <w:rsid w:val="35FC5CB2"/>
    <w:rsid w:val="364C78E8"/>
    <w:rsid w:val="365B6D6C"/>
    <w:rsid w:val="37447C74"/>
    <w:rsid w:val="375A1051"/>
    <w:rsid w:val="375B0E36"/>
    <w:rsid w:val="376F45EE"/>
    <w:rsid w:val="377266A8"/>
    <w:rsid w:val="377A73B2"/>
    <w:rsid w:val="37A022CD"/>
    <w:rsid w:val="37A317A3"/>
    <w:rsid w:val="37A903C2"/>
    <w:rsid w:val="37B76230"/>
    <w:rsid w:val="37C230C0"/>
    <w:rsid w:val="37D82C11"/>
    <w:rsid w:val="37EC5240"/>
    <w:rsid w:val="37FE3FB2"/>
    <w:rsid w:val="380B4838"/>
    <w:rsid w:val="38107EDC"/>
    <w:rsid w:val="38AA53EA"/>
    <w:rsid w:val="390C2963"/>
    <w:rsid w:val="39484FA2"/>
    <w:rsid w:val="394F1AC2"/>
    <w:rsid w:val="39BE4F79"/>
    <w:rsid w:val="39D04676"/>
    <w:rsid w:val="39D50967"/>
    <w:rsid w:val="3A931764"/>
    <w:rsid w:val="3A972E72"/>
    <w:rsid w:val="3AB52FC7"/>
    <w:rsid w:val="3AF15C8A"/>
    <w:rsid w:val="3AF671AD"/>
    <w:rsid w:val="3AFD34EF"/>
    <w:rsid w:val="3B0E63C0"/>
    <w:rsid w:val="3B16700D"/>
    <w:rsid w:val="3B5D6EA0"/>
    <w:rsid w:val="3B6339E5"/>
    <w:rsid w:val="3B733496"/>
    <w:rsid w:val="3B7A6083"/>
    <w:rsid w:val="3BA849A0"/>
    <w:rsid w:val="3BB9119D"/>
    <w:rsid w:val="3BC07508"/>
    <w:rsid w:val="3BE6272C"/>
    <w:rsid w:val="3BE81889"/>
    <w:rsid w:val="3C2222A1"/>
    <w:rsid w:val="3C8A280E"/>
    <w:rsid w:val="3C97649D"/>
    <w:rsid w:val="3CFE691F"/>
    <w:rsid w:val="3D664C7B"/>
    <w:rsid w:val="3D7262BE"/>
    <w:rsid w:val="3D9B4E79"/>
    <w:rsid w:val="3DA539D0"/>
    <w:rsid w:val="3DB70219"/>
    <w:rsid w:val="3DBD206A"/>
    <w:rsid w:val="3E257D4D"/>
    <w:rsid w:val="3E3C63BD"/>
    <w:rsid w:val="3EFA184D"/>
    <w:rsid w:val="3F9D685A"/>
    <w:rsid w:val="3FBD7B11"/>
    <w:rsid w:val="3FCE1992"/>
    <w:rsid w:val="405D3F8F"/>
    <w:rsid w:val="406463CC"/>
    <w:rsid w:val="409F2D89"/>
    <w:rsid w:val="40D817E2"/>
    <w:rsid w:val="413E6D03"/>
    <w:rsid w:val="414508E0"/>
    <w:rsid w:val="41667960"/>
    <w:rsid w:val="417443F1"/>
    <w:rsid w:val="4192115D"/>
    <w:rsid w:val="41A73D79"/>
    <w:rsid w:val="41E1231B"/>
    <w:rsid w:val="41E22226"/>
    <w:rsid w:val="41F91953"/>
    <w:rsid w:val="420E5060"/>
    <w:rsid w:val="426E46F0"/>
    <w:rsid w:val="4284669D"/>
    <w:rsid w:val="428D3BCF"/>
    <w:rsid w:val="42BF6905"/>
    <w:rsid w:val="43457A59"/>
    <w:rsid w:val="4385405D"/>
    <w:rsid w:val="43BE5E77"/>
    <w:rsid w:val="43D86C7A"/>
    <w:rsid w:val="43E619E4"/>
    <w:rsid w:val="44430F95"/>
    <w:rsid w:val="449F6263"/>
    <w:rsid w:val="45004317"/>
    <w:rsid w:val="451752E3"/>
    <w:rsid w:val="452E42CD"/>
    <w:rsid w:val="453F3B2D"/>
    <w:rsid w:val="459C7D5D"/>
    <w:rsid w:val="460F0801"/>
    <w:rsid w:val="46541247"/>
    <w:rsid w:val="4657692D"/>
    <w:rsid w:val="469A5A4E"/>
    <w:rsid w:val="46B635B7"/>
    <w:rsid w:val="46B841BE"/>
    <w:rsid w:val="46D637B8"/>
    <w:rsid w:val="46F54568"/>
    <w:rsid w:val="472414A7"/>
    <w:rsid w:val="477F5C13"/>
    <w:rsid w:val="477F7288"/>
    <w:rsid w:val="47CD2003"/>
    <w:rsid w:val="47D90175"/>
    <w:rsid w:val="47F1604B"/>
    <w:rsid w:val="4824118F"/>
    <w:rsid w:val="48866F27"/>
    <w:rsid w:val="488B2FAF"/>
    <w:rsid w:val="48BB4D5C"/>
    <w:rsid w:val="48E9632D"/>
    <w:rsid w:val="49233AD1"/>
    <w:rsid w:val="49384FFD"/>
    <w:rsid w:val="49407085"/>
    <w:rsid w:val="495271F0"/>
    <w:rsid w:val="49A03E2F"/>
    <w:rsid w:val="49AE26D4"/>
    <w:rsid w:val="49CD3F95"/>
    <w:rsid w:val="49FF5459"/>
    <w:rsid w:val="4A4E6EBE"/>
    <w:rsid w:val="4A6B6121"/>
    <w:rsid w:val="4A872624"/>
    <w:rsid w:val="4AD65D51"/>
    <w:rsid w:val="4B375F86"/>
    <w:rsid w:val="4B660CC3"/>
    <w:rsid w:val="4B7E5C9E"/>
    <w:rsid w:val="4B926C13"/>
    <w:rsid w:val="4BB66E0E"/>
    <w:rsid w:val="4BDC7073"/>
    <w:rsid w:val="4CD654C8"/>
    <w:rsid w:val="4CEE08C2"/>
    <w:rsid w:val="4D21667A"/>
    <w:rsid w:val="4D51419A"/>
    <w:rsid w:val="4D762244"/>
    <w:rsid w:val="4D8041FD"/>
    <w:rsid w:val="4D854F67"/>
    <w:rsid w:val="4DB00E91"/>
    <w:rsid w:val="4DE52B9E"/>
    <w:rsid w:val="4E0D7AB5"/>
    <w:rsid w:val="4E3021EA"/>
    <w:rsid w:val="4E5B75E0"/>
    <w:rsid w:val="4E7674CB"/>
    <w:rsid w:val="4E9A0CEA"/>
    <w:rsid w:val="4EA05442"/>
    <w:rsid w:val="4EAA4E2C"/>
    <w:rsid w:val="4EB77F57"/>
    <w:rsid w:val="4EBB6B95"/>
    <w:rsid w:val="4EDD38C9"/>
    <w:rsid w:val="4EDE61A5"/>
    <w:rsid w:val="4F3E0877"/>
    <w:rsid w:val="4F866928"/>
    <w:rsid w:val="4FAA2B6F"/>
    <w:rsid w:val="4FFC54D5"/>
    <w:rsid w:val="500A31BE"/>
    <w:rsid w:val="500D4514"/>
    <w:rsid w:val="50117AF7"/>
    <w:rsid w:val="501514AD"/>
    <w:rsid w:val="504F2FFD"/>
    <w:rsid w:val="505903E5"/>
    <w:rsid w:val="50670F43"/>
    <w:rsid w:val="50A1663A"/>
    <w:rsid w:val="50A53EA8"/>
    <w:rsid w:val="50DD089B"/>
    <w:rsid w:val="50E93C44"/>
    <w:rsid w:val="51071325"/>
    <w:rsid w:val="51270523"/>
    <w:rsid w:val="513922A4"/>
    <w:rsid w:val="51475D2D"/>
    <w:rsid w:val="517C6829"/>
    <w:rsid w:val="51D13374"/>
    <w:rsid w:val="51DE0AEB"/>
    <w:rsid w:val="51F024D3"/>
    <w:rsid w:val="524E4E52"/>
    <w:rsid w:val="52643766"/>
    <w:rsid w:val="5286580E"/>
    <w:rsid w:val="52947896"/>
    <w:rsid w:val="52A728B2"/>
    <w:rsid w:val="52AA5504"/>
    <w:rsid w:val="52B4215C"/>
    <w:rsid w:val="52C80E1E"/>
    <w:rsid w:val="52D452CF"/>
    <w:rsid w:val="52E0149B"/>
    <w:rsid w:val="52E17596"/>
    <w:rsid w:val="52F20325"/>
    <w:rsid w:val="536D4A46"/>
    <w:rsid w:val="53826676"/>
    <w:rsid w:val="5382717C"/>
    <w:rsid w:val="53A402CF"/>
    <w:rsid w:val="53E352CF"/>
    <w:rsid w:val="54024953"/>
    <w:rsid w:val="540A7280"/>
    <w:rsid w:val="5418455E"/>
    <w:rsid w:val="543D3ED1"/>
    <w:rsid w:val="54741615"/>
    <w:rsid w:val="54D85C62"/>
    <w:rsid w:val="54DB2206"/>
    <w:rsid w:val="55127342"/>
    <w:rsid w:val="55224C9F"/>
    <w:rsid w:val="558267B6"/>
    <w:rsid w:val="55870288"/>
    <w:rsid w:val="55F935F1"/>
    <w:rsid w:val="5613438B"/>
    <w:rsid w:val="564006A0"/>
    <w:rsid w:val="566C2748"/>
    <w:rsid w:val="567F6CFC"/>
    <w:rsid w:val="56B06860"/>
    <w:rsid w:val="56D32D90"/>
    <w:rsid w:val="56E059D8"/>
    <w:rsid w:val="5716735C"/>
    <w:rsid w:val="574D03F6"/>
    <w:rsid w:val="575B17D6"/>
    <w:rsid w:val="57712232"/>
    <w:rsid w:val="57E0544A"/>
    <w:rsid w:val="57E43FEE"/>
    <w:rsid w:val="581E0D4B"/>
    <w:rsid w:val="584A7391"/>
    <w:rsid w:val="589014B4"/>
    <w:rsid w:val="58A16885"/>
    <w:rsid w:val="58B24806"/>
    <w:rsid w:val="58E052A8"/>
    <w:rsid w:val="596F0975"/>
    <w:rsid w:val="59971936"/>
    <w:rsid w:val="59E7103B"/>
    <w:rsid w:val="5A1C5753"/>
    <w:rsid w:val="5A444CB8"/>
    <w:rsid w:val="5A775F79"/>
    <w:rsid w:val="5AB87D76"/>
    <w:rsid w:val="5AC16934"/>
    <w:rsid w:val="5B1A502A"/>
    <w:rsid w:val="5B2828B1"/>
    <w:rsid w:val="5B8B7980"/>
    <w:rsid w:val="5B9132D9"/>
    <w:rsid w:val="5BA07233"/>
    <w:rsid w:val="5BA9582C"/>
    <w:rsid w:val="5BC74B0C"/>
    <w:rsid w:val="5CA231E0"/>
    <w:rsid w:val="5CB32779"/>
    <w:rsid w:val="5D4E37F6"/>
    <w:rsid w:val="5D6C21A7"/>
    <w:rsid w:val="5D910EC1"/>
    <w:rsid w:val="5DA92A57"/>
    <w:rsid w:val="5DE34A16"/>
    <w:rsid w:val="5E110B8B"/>
    <w:rsid w:val="5E543457"/>
    <w:rsid w:val="5E973214"/>
    <w:rsid w:val="5EE637DE"/>
    <w:rsid w:val="5F032CA0"/>
    <w:rsid w:val="5F0B4C86"/>
    <w:rsid w:val="5F157819"/>
    <w:rsid w:val="5F895AA0"/>
    <w:rsid w:val="5FAD2CB6"/>
    <w:rsid w:val="5FAF39CD"/>
    <w:rsid w:val="5FD516E7"/>
    <w:rsid w:val="601F2C58"/>
    <w:rsid w:val="60335FFA"/>
    <w:rsid w:val="609565A0"/>
    <w:rsid w:val="60B728A7"/>
    <w:rsid w:val="60DE5B1E"/>
    <w:rsid w:val="618F3176"/>
    <w:rsid w:val="619F7BD6"/>
    <w:rsid w:val="61CB3616"/>
    <w:rsid w:val="621D042A"/>
    <w:rsid w:val="62270B3C"/>
    <w:rsid w:val="63344E3D"/>
    <w:rsid w:val="63480195"/>
    <w:rsid w:val="634C20F7"/>
    <w:rsid w:val="63C72B11"/>
    <w:rsid w:val="63E84A49"/>
    <w:rsid w:val="63FB0BD0"/>
    <w:rsid w:val="64047328"/>
    <w:rsid w:val="640C67F5"/>
    <w:rsid w:val="64211A00"/>
    <w:rsid w:val="642217D0"/>
    <w:rsid w:val="64475273"/>
    <w:rsid w:val="6447615C"/>
    <w:rsid w:val="64566698"/>
    <w:rsid w:val="64863BC8"/>
    <w:rsid w:val="648F332A"/>
    <w:rsid w:val="64A41F64"/>
    <w:rsid w:val="64C37EFE"/>
    <w:rsid w:val="64EC19F4"/>
    <w:rsid w:val="65081608"/>
    <w:rsid w:val="65436FF0"/>
    <w:rsid w:val="655E4198"/>
    <w:rsid w:val="65D265A8"/>
    <w:rsid w:val="65F10A6F"/>
    <w:rsid w:val="65FE57FF"/>
    <w:rsid w:val="664B6238"/>
    <w:rsid w:val="66664685"/>
    <w:rsid w:val="667A27AD"/>
    <w:rsid w:val="668D213A"/>
    <w:rsid w:val="66E36515"/>
    <w:rsid w:val="66E37C00"/>
    <w:rsid w:val="670E2D26"/>
    <w:rsid w:val="673133B8"/>
    <w:rsid w:val="674B192F"/>
    <w:rsid w:val="67757FCF"/>
    <w:rsid w:val="67F40D07"/>
    <w:rsid w:val="68202551"/>
    <w:rsid w:val="683A649C"/>
    <w:rsid w:val="685B28B0"/>
    <w:rsid w:val="689D2705"/>
    <w:rsid w:val="68BD7777"/>
    <w:rsid w:val="68DE3533"/>
    <w:rsid w:val="69093547"/>
    <w:rsid w:val="69132802"/>
    <w:rsid w:val="69953CC5"/>
    <w:rsid w:val="69AF4635"/>
    <w:rsid w:val="69C62FF8"/>
    <w:rsid w:val="69DF111A"/>
    <w:rsid w:val="69E30F36"/>
    <w:rsid w:val="6A4B7B41"/>
    <w:rsid w:val="6AB673A4"/>
    <w:rsid w:val="6AB705C2"/>
    <w:rsid w:val="6AD641AD"/>
    <w:rsid w:val="6AEA2A81"/>
    <w:rsid w:val="6B113F4A"/>
    <w:rsid w:val="6B15014A"/>
    <w:rsid w:val="6B2449BC"/>
    <w:rsid w:val="6B340B37"/>
    <w:rsid w:val="6B5D416C"/>
    <w:rsid w:val="6B69464A"/>
    <w:rsid w:val="6B805161"/>
    <w:rsid w:val="6BA1740C"/>
    <w:rsid w:val="6BE64FED"/>
    <w:rsid w:val="6BF56C8A"/>
    <w:rsid w:val="6C2D7AB5"/>
    <w:rsid w:val="6C383B86"/>
    <w:rsid w:val="6C593B8F"/>
    <w:rsid w:val="6C785F0D"/>
    <w:rsid w:val="6C7E2EB9"/>
    <w:rsid w:val="6C845B39"/>
    <w:rsid w:val="6C94735D"/>
    <w:rsid w:val="6CAA3F0A"/>
    <w:rsid w:val="6CAC0C9B"/>
    <w:rsid w:val="6CBA1CB0"/>
    <w:rsid w:val="6CC1448E"/>
    <w:rsid w:val="6CC95241"/>
    <w:rsid w:val="6D18660F"/>
    <w:rsid w:val="6D544FAE"/>
    <w:rsid w:val="6D8C39A9"/>
    <w:rsid w:val="6DBF0252"/>
    <w:rsid w:val="6DD70E25"/>
    <w:rsid w:val="6DE83B0B"/>
    <w:rsid w:val="6E1141C0"/>
    <w:rsid w:val="6E3C6A68"/>
    <w:rsid w:val="6E454E5E"/>
    <w:rsid w:val="6E527BB7"/>
    <w:rsid w:val="6E611BE4"/>
    <w:rsid w:val="6E8C5694"/>
    <w:rsid w:val="6EC15C4B"/>
    <w:rsid w:val="6F131FDB"/>
    <w:rsid w:val="6F334F0D"/>
    <w:rsid w:val="6F512E16"/>
    <w:rsid w:val="6F5D1A3A"/>
    <w:rsid w:val="6F6232DD"/>
    <w:rsid w:val="6F8E3EDC"/>
    <w:rsid w:val="6FA167B0"/>
    <w:rsid w:val="6FC46981"/>
    <w:rsid w:val="6FF931BC"/>
    <w:rsid w:val="6FF97AAA"/>
    <w:rsid w:val="701539F6"/>
    <w:rsid w:val="7024466D"/>
    <w:rsid w:val="7053274A"/>
    <w:rsid w:val="7066369E"/>
    <w:rsid w:val="70912AAB"/>
    <w:rsid w:val="70A45A1C"/>
    <w:rsid w:val="715256C6"/>
    <w:rsid w:val="717B1367"/>
    <w:rsid w:val="717F6B2A"/>
    <w:rsid w:val="71B95FA8"/>
    <w:rsid w:val="723448E6"/>
    <w:rsid w:val="7262728A"/>
    <w:rsid w:val="726F7031"/>
    <w:rsid w:val="72AF2C2B"/>
    <w:rsid w:val="72B825E5"/>
    <w:rsid w:val="72E71F99"/>
    <w:rsid w:val="72F41883"/>
    <w:rsid w:val="73642AAE"/>
    <w:rsid w:val="73854EF4"/>
    <w:rsid w:val="73A904CA"/>
    <w:rsid w:val="73EE7580"/>
    <w:rsid w:val="73F15294"/>
    <w:rsid w:val="742342CD"/>
    <w:rsid w:val="743470A1"/>
    <w:rsid w:val="74623FB8"/>
    <w:rsid w:val="7469403A"/>
    <w:rsid w:val="748A6B51"/>
    <w:rsid w:val="75062BB8"/>
    <w:rsid w:val="75096A6E"/>
    <w:rsid w:val="75B0036E"/>
    <w:rsid w:val="76630E7C"/>
    <w:rsid w:val="770C1D4D"/>
    <w:rsid w:val="7731161F"/>
    <w:rsid w:val="77C73BC6"/>
    <w:rsid w:val="781172B3"/>
    <w:rsid w:val="781A4626"/>
    <w:rsid w:val="78500D11"/>
    <w:rsid w:val="785141E4"/>
    <w:rsid w:val="79120CD1"/>
    <w:rsid w:val="791D68F8"/>
    <w:rsid w:val="79200B71"/>
    <w:rsid w:val="795263BB"/>
    <w:rsid w:val="79876CF3"/>
    <w:rsid w:val="79933683"/>
    <w:rsid w:val="79F462BB"/>
    <w:rsid w:val="7A3C4883"/>
    <w:rsid w:val="7A6529DC"/>
    <w:rsid w:val="7A825F68"/>
    <w:rsid w:val="7A827950"/>
    <w:rsid w:val="7A8C5DDC"/>
    <w:rsid w:val="7AB97BF1"/>
    <w:rsid w:val="7AF37ADE"/>
    <w:rsid w:val="7B22050F"/>
    <w:rsid w:val="7B4256E9"/>
    <w:rsid w:val="7B5F3CE2"/>
    <w:rsid w:val="7B7F3C45"/>
    <w:rsid w:val="7BD508DC"/>
    <w:rsid w:val="7BF31CDD"/>
    <w:rsid w:val="7C20487E"/>
    <w:rsid w:val="7C4D51A9"/>
    <w:rsid w:val="7C5706CD"/>
    <w:rsid w:val="7C5C02FE"/>
    <w:rsid w:val="7C7C724E"/>
    <w:rsid w:val="7C7D421B"/>
    <w:rsid w:val="7CCA2649"/>
    <w:rsid w:val="7CE01010"/>
    <w:rsid w:val="7CE9262B"/>
    <w:rsid w:val="7D04502D"/>
    <w:rsid w:val="7D1D6A79"/>
    <w:rsid w:val="7D3B120F"/>
    <w:rsid w:val="7D4D7B7F"/>
    <w:rsid w:val="7D6E4F6A"/>
    <w:rsid w:val="7D9759F9"/>
    <w:rsid w:val="7DAD21E0"/>
    <w:rsid w:val="7E2B030A"/>
    <w:rsid w:val="7E3D2753"/>
    <w:rsid w:val="7E4D5EE8"/>
    <w:rsid w:val="7E657651"/>
    <w:rsid w:val="7EEF3024"/>
    <w:rsid w:val="7F25332B"/>
    <w:rsid w:val="7F26470E"/>
    <w:rsid w:val="7F5B548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1"/>
    <w:qFormat/>
    <w:uiPriority w:val="0"/>
    <w:pPr>
      <w:keepNext/>
      <w:keepLines/>
      <w:numPr>
        <w:ilvl w:val="0"/>
        <w:numId w:val="1"/>
      </w:numPr>
      <w:pBdr>
        <w:top w:val="single" w:color="auto" w:sz="12" w:space="3"/>
      </w:pBdr>
      <w:spacing w:before="240" w:after="180"/>
      <w:outlineLvl w:val="0"/>
    </w:pPr>
    <w:rPr>
      <w:rFonts w:ascii="Arial" w:hAnsi="Arial"/>
      <w:sz w:val="36"/>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32"/>
    </w:rPr>
  </w:style>
  <w:style w:type="paragraph" w:styleId="4">
    <w:name w:val="heading 3"/>
    <w:basedOn w:val="3"/>
    <w:next w:val="1"/>
    <w:qFormat/>
    <w:uiPriority w:val="0"/>
    <w:pPr>
      <w:numPr>
        <w:ilvl w:val="2"/>
        <w:numId w:val="1"/>
      </w:numPr>
      <w:spacing w:before="120"/>
      <w:outlineLvl w:val="2"/>
    </w:pPr>
    <w:rPr>
      <w:sz w:val="28"/>
    </w:rPr>
  </w:style>
  <w:style w:type="paragraph" w:styleId="5">
    <w:name w:val="heading 4"/>
    <w:basedOn w:val="4"/>
    <w:next w:val="1"/>
    <w:qFormat/>
    <w:uiPriority w:val="0"/>
    <w:pPr>
      <w:numPr>
        <w:ilvl w:val="3"/>
        <w:numId w:val="1"/>
      </w:numPr>
      <w:outlineLvl w:val="3"/>
    </w:pPr>
    <w:rPr>
      <w:sz w:val="24"/>
    </w:rPr>
  </w:style>
  <w:style w:type="paragraph" w:styleId="6">
    <w:name w:val="heading 5"/>
    <w:basedOn w:val="1"/>
    <w:next w:val="1"/>
    <w:qFormat/>
    <w:uiPriority w:val="0"/>
    <w:pPr>
      <w:numPr>
        <w:ilvl w:val="5"/>
        <w:numId w:val="1"/>
      </w:numPr>
      <w:tabs>
        <w:tab w:val="left" w:pos="432"/>
        <w:tab w:val="left" w:pos="576"/>
        <w:tab w:val="left" w:pos="720"/>
        <w:tab w:val="left" w:pos="864"/>
      </w:tabs>
      <w:outlineLvl w:val="4"/>
    </w:pPr>
    <w:rPr>
      <w:sz w:val="22"/>
    </w:rPr>
  </w:style>
  <w:style w:type="paragraph" w:styleId="7">
    <w:name w:val="heading 6"/>
    <w:basedOn w:val="1"/>
    <w:next w:val="1"/>
    <w:qFormat/>
    <w:uiPriority w:val="0"/>
    <w:pPr>
      <w:tabs>
        <w:tab w:val="left" w:pos="432"/>
        <w:tab w:val="left" w:pos="576"/>
        <w:tab w:val="left" w:pos="720"/>
        <w:tab w:val="left" w:pos="864"/>
        <w:tab w:val="left" w:pos="1152"/>
      </w:tabs>
      <w:outlineLvl w:val="5"/>
    </w:pPr>
  </w:style>
  <w:style w:type="paragraph" w:styleId="8">
    <w:name w:val="heading 7"/>
    <w:basedOn w:val="9"/>
    <w:next w:val="1"/>
    <w:qFormat/>
    <w:uiPriority w:val="0"/>
    <w:pPr>
      <w:numPr>
        <w:ilvl w:val="6"/>
        <w:numId w:val="1"/>
      </w:numPr>
      <w:tabs>
        <w:tab w:val="left" w:pos="432"/>
        <w:tab w:val="left" w:pos="576"/>
        <w:tab w:val="left" w:pos="720"/>
        <w:tab w:val="left" w:pos="864"/>
        <w:tab w:val="left" w:pos="1152"/>
      </w:tabs>
      <w:outlineLvl w:val="6"/>
    </w:pPr>
  </w:style>
  <w:style w:type="paragraph" w:styleId="10">
    <w:name w:val="heading 8"/>
    <w:basedOn w:val="2"/>
    <w:next w:val="1"/>
    <w:link w:val="150"/>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53">
    <w:name w:val="Default Paragraph Font"/>
    <w:unhideWhenUsed/>
    <w:qFormat/>
    <w:uiPriority w:val="1"/>
  </w:style>
  <w:style w:type="table" w:default="1" w:styleId="51">
    <w:name w:val="Normal Table"/>
    <w:unhideWhenUsed/>
    <w:qFormat/>
    <w:uiPriority w:val="99"/>
    <w:tblPr>
      <w:tblCellMar>
        <w:top w:w="0" w:type="dxa"/>
        <w:left w:w="108" w:type="dxa"/>
        <w:bottom w:w="0" w:type="dxa"/>
        <w:right w:w="108" w:type="dxa"/>
      </w:tblCellMar>
    </w:tblPr>
  </w:style>
  <w:style w:type="paragraph" w:customStyle="1" w:styleId="9">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8"/>
    <w:qFormat/>
    <w:uiPriority w:val="0"/>
    <w:pPr>
      <w:ind w:left="851"/>
    </w:pPr>
  </w:style>
  <w:style w:type="paragraph" w:styleId="14">
    <w:name w:val="List"/>
    <w:basedOn w:val="1"/>
    <w:link w:val="149"/>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1"/>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55"/>
    <w:semiHidden/>
    <w:qFormat/>
    <w:uiPriority w:val="0"/>
    <w:pPr>
      <w:spacing w:before="120" w:after="0"/>
    </w:pPr>
    <w:rPr>
      <w:lang w:val="en-US"/>
    </w:rPr>
  </w:style>
  <w:style w:type="paragraph" w:styleId="31">
    <w:name w:val="Body Text 3"/>
    <w:basedOn w:val="1"/>
    <w:qFormat/>
    <w:uiPriority w:val="0"/>
    <w:rPr>
      <w:b/>
      <w:i/>
      <w:lang w:val="en-US"/>
    </w:rPr>
  </w:style>
  <w:style w:type="paragraph" w:styleId="32">
    <w:name w:val="Body Text"/>
    <w:basedOn w:val="1"/>
    <w:qFormat/>
    <w:uiPriority w:val="0"/>
    <w:pPr>
      <w:widowControl w:val="0"/>
      <w:spacing w:after="120"/>
    </w:pPr>
    <w:rPr>
      <w:rFonts w:eastAsia="MS Mincho"/>
      <w:sz w:val="24"/>
      <w:lang w:val="en-US"/>
    </w:rPr>
  </w:style>
  <w:style w:type="paragraph" w:styleId="33">
    <w:name w:val="Body Text Indent"/>
    <w:basedOn w:val="1"/>
    <w:qFormat/>
    <w:uiPriority w:val="0"/>
    <w:pPr>
      <w:spacing w:before="240" w:after="0"/>
      <w:ind w:left="360"/>
      <w:jc w:val="both"/>
    </w:pPr>
    <w:rPr>
      <w:i/>
      <w:sz w:val="22"/>
    </w:rPr>
  </w:style>
  <w:style w:type="paragraph" w:styleId="34">
    <w:name w:val="Plain Text"/>
    <w:basedOn w:val="1"/>
    <w:qFormat/>
    <w:uiPriority w:val="0"/>
    <w:pPr>
      <w:spacing w:after="0"/>
    </w:pPr>
    <w:rPr>
      <w:rFonts w:ascii="Courier New" w:hAnsi="Courier New"/>
      <w:lang w:val="en-US"/>
    </w:rPr>
  </w:style>
  <w:style w:type="paragraph" w:styleId="35">
    <w:name w:val="List Bullet 5"/>
    <w:basedOn w:val="24"/>
    <w:qFormat/>
    <w:uiPriority w:val="0"/>
    <w:pPr>
      <w:ind w:left="1702"/>
    </w:pPr>
  </w:style>
  <w:style w:type="paragraph" w:styleId="36">
    <w:name w:val="toc 8"/>
    <w:basedOn w:val="21"/>
    <w:next w:val="1"/>
    <w:semiHidden/>
    <w:qFormat/>
    <w:uiPriority w:val="0"/>
    <w:pPr>
      <w:spacing w:before="180"/>
      <w:ind w:left="2693" w:hanging="2693"/>
    </w:pPr>
    <w:rPr>
      <w:b/>
    </w:rPr>
  </w:style>
  <w:style w:type="paragraph" w:styleId="37">
    <w:name w:val="Body Text Indent 2"/>
    <w:basedOn w:val="1"/>
    <w:qFormat/>
    <w:uiPriority w:val="0"/>
    <w:pPr>
      <w:ind w:left="568" w:hanging="568"/>
    </w:pPr>
  </w:style>
  <w:style w:type="paragraph" w:styleId="38">
    <w:name w:val="Balloon Text"/>
    <w:basedOn w:val="1"/>
    <w:semiHidden/>
    <w:qFormat/>
    <w:uiPriority w:val="0"/>
    <w:rPr>
      <w:rFonts w:ascii="Tahoma" w:hAnsi="Tahoma" w:cs="Tahoma"/>
      <w:sz w:val="16"/>
      <w:szCs w:val="16"/>
    </w:rPr>
  </w:style>
  <w:style w:type="paragraph" w:styleId="39">
    <w:name w:val="footer"/>
    <w:basedOn w:val="40"/>
    <w:qFormat/>
    <w:uiPriority w:val="0"/>
    <w:pPr>
      <w:jc w:val="center"/>
    </w:pPr>
    <w:rPr>
      <w:i/>
    </w:rPr>
  </w:style>
  <w:style w:type="paragraph" w:styleId="40">
    <w:name w:val="header"/>
    <w:qFormat/>
    <w:uiPriority w:val="0"/>
    <w:pPr>
      <w:widowControl w:val="0"/>
    </w:pPr>
    <w:rPr>
      <w:rFonts w:ascii="Arial" w:hAnsi="Arial" w:eastAsia="宋体" w:cs="Times New Roman"/>
      <w:b/>
      <w:sz w:val="18"/>
      <w:lang w:val="en-US" w:eastAsia="en-US" w:bidi="ar-SA"/>
    </w:rPr>
  </w:style>
  <w:style w:type="paragraph" w:styleId="41">
    <w:name w:val="index heading"/>
    <w:basedOn w:val="1"/>
    <w:next w:val="1"/>
    <w:semiHidden/>
    <w:qFormat/>
    <w:uiPriority w:val="0"/>
    <w:pPr>
      <w:pBdr>
        <w:top w:val="single" w:color="auto" w:sz="12" w:space="0"/>
      </w:pBdr>
      <w:spacing w:before="360" w:after="240"/>
    </w:pPr>
    <w:rPr>
      <w:b/>
      <w:i/>
      <w:sz w:val="26"/>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6"/>
    <w:next w:val="1"/>
    <w:semiHidden/>
    <w:qFormat/>
    <w:uiPriority w:val="0"/>
    <w:pPr>
      <w:ind w:left="1418" w:hanging="1418"/>
    </w:pPr>
  </w:style>
  <w:style w:type="paragraph" w:styleId="46">
    <w:name w:val="Body Text 2"/>
    <w:basedOn w:val="1"/>
    <w:qFormat/>
    <w:uiPriority w:val="0"/>
    <w:pPr>
      <w:spacing w:after="0"/>
      <w:jc w:val="both"/>
    </w:pPr>
    <w:rPr>
      <w:sz w:val="24"/>
      <w:lang w:val="en-US"/>
    </w:rPr>
  </w:style>
  <w:style w:type="paragraph" w:styleId="4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paragraph" w:styleId="50">
    <w:name w:val="annotation subject"/>
    <w:basedOn w:val="30"/>
    <w:next w:val="30"/>
    <w:link w:val="163"/>
    <w:qFormat/>
    <w:uiPriority w:val="0"/>
    <w:pPr>
      <w:spacing w:before="0" w:after="180"/>
    </w:pPr>
    <w:rPr>
      <w:b/>
      <w:bCs/>
      <w:lang w:val="en-GB"/>
    </w:rPr>
  </w:style>
  <w:style w:type="table" w:styleId="52">
    <w:name w:val="Table Grid"/>
    <w:basedOn w:val="5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basedOn w:val="53"/>
    <w:qFormat/>
    <w:uiPriority w:val="0"/>
    <w:rPr>
      <w:color w:val="35A1D4"/>
      <w:u w:val="single"/>
    </w:rPr>
  </w:style>
  <w:style w:type="character" w:styleId="56">
    <w:name w:val="Hyperlink"/>
    <w:basedOn w:val="53"/>
    <w:qFormat/>
    <w:uiPriority w:val="0"/>
    <w:rPr>
      <w:color w:val="35A1D4"/>
      <w:u w:val="single"/>
    </w:rPr>
  </w:style>
  <w:style w:type="character" w:styleId="57">
    <w:name w:val="annotation reference"/>
    <w:basedOn w:val="53"/>
    <w:semiHidden/>
    <w:qFormat/>
    <w:uiPriority w:val="0"/>
    <w:rPr>
      <w:sz w:val="16"/>
    </w:rPr>
  </w:style>
  <w:style w:type="character" w:styleId="58">
    <w:name w:val="footnote reference"/>
    <w:basedOn w:val="53"/>
    <w:semiHidden/>
    <w:qFormat/>
    <w:uiPriority w:val="0"/>
    <w:rPr>
      <w:b/>
      <w:position w:val="6"/>
      <w:sz w:val="16"/>
    </w:rPr>
  </w:style>
  <w:style w:type="paragraph" w:customStyle="1" w:styleId="59">
    <w:name w:val="Char Char Char"/>
    <w:basedOn w:val="1"/>
    <w:next w:val="1"/>
    <w:semiHidden/>
    <w:qFormat/>
    <w:uiPriority w:val="0"/>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60">
    <w:name w:val="Char Char Char1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1">
    <w:name w:val="TF"/>
    <w:basedOn w:val="62"/>
    <w:link w:val="147"/>
    <w:qFormat/>
    <w:uiPriority w:val="0"/>
    <w:pPr>
      <w:keepNext w:val="0"/>
      <w:spacing w:before="0" w:after="240"/>
    </w:pPr>
  </w:style>
  <w:style w:type="paragraph" w:customStyle="1" w:styleId="62">
    <w:name w:val="TH"/>
    <w:basedOn w:val="1"/>
    <w:link w:val="162"/>
    <w:qFormat/>
    <w:uiPriority w:val="0"/>
    <w:pPr>
      <w:keepNext/>
      <w:keepLines/>
      <w:spacing w:before="60"/>
      <w:jc w:val="center"/>
    </w:pPr>
    <w:rPr>
      <w:rFonts w:ascii="Arial" w:hAnsi="Arial"/>
      <w:b/>
    </w:rPr>
  </w:style>
  <w:style w:type="paragraph" w:customStyle="1" w:styleId="63">
    <w:name w:val="TAL"/>
    <w:basedOn w:val="1"/>
    <w:link w:val="154"/>
    <w:qFormat/>
    <w:uiPriority w:val="0"/>
    <w:pPr>
      <w:keepNext/>
      <w:keepLines/>
      <w:spacing w:after="0"/>
    </w:pPr>
    <w:rPr>
      <w:rFonts w:ascii="Arial" w:hAnsi="Arial"/>
      <w:sz w:val="18"/>
    </w:rPr>
  </w:style>
  <w:style w:type="paragraph" w:customStyle="1" w:styleId="64">
    <w:name w:val="B5"/>
    <w:basedOn w:val="43"/>
    <w:qFormat/>
    <w:uiPriority w:val="0"/>
  </w:style>
  <w:style w:type="paragraph" w:customStyle="1" w:styleId="65">
    <w:name w:val="table"/>
    <w:basedOn w:val="1"/>
    <w:next w:val="1"/>
    <w:qFormat/>
    <w:uiPriority w:val="0"/>
    <w:pPr>
      <w:spacing w:after="0"/>
      <w:jc w:val="center"/>
    </w:pPr>
    <w:rPr>
      <w:rFonts w:eastAsia="MS Mincho"/>
      <w:lang w:val="en-US"/>
    </w:rPr>
  </w:style>
  <w:style w:type="paragraph" w:customStyle="1" w:styleId="66">
    <w:name w:val="ZTD"/>
    <w:basedOn w:val="67"/>
    <w:qFormat/>
    <w:uiPriority w:val="0"/>
    <w:pPr>
      <w:framePr w:hRule="auto" w:y="852"/>
    </w:pPr>
    <w:rPr>
      <w:i w:val="0"/>
      <w:sz w:val="40"/>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US" w:eastAsia="en-US" w:bidi="ar-SA"/>
    </w:rPr>
  </w:style>
  <w:style w:type="paragraph" w:customStyle="1" w:styleId="68">
    <w:name w:val="Char Char Char Char Char Char1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69">
    <w:name w:val="PL"/>
    <w:link w:val="1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US" w:eastAsia="en-US" w:bidi="ar-SA"/>
    </w:rPr>
  </w:style>
  <w:style w:type="paragraph" w:customStyle="1" w:styleId="70">
    <w:name w:val="Tdoc_Text"/>
    <w:basedOn w:val="1"/>
    <w:qFormat/>
    <w:uiPriority w:val="0"/>
    <w:pPr>
      <w:spacing w:before="120" w:after="0"/>
      <w:jc w:val="both"/>
    </w:pPr>
    <w:rPr>
      <w:lang w:val="en-US"/>
    </w:rPr>
  </w:style>
  <w:style w:type="paragraph" w:customStyle="1" w:styleId="71">
    <w:name w:val="Char (文字) (文字) Char1 (文字) (文字) Char Char (文字) (文字) Char Char Char Zchn Zchn Char Char Char Char Char Char Char Char (文字) (文字)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tdoc-header"/>
    <w:qFormat/>
    <w:uiPriority w:val="0"/>
    <w:rPr>
      <w:rFonts w:ascii="Arial" w:hAnsi="Arial" w:eastAsia="宋体" w:cs="Times New Roman"/>
      <w:sz w:val="24"/>
      <w:lang w:val="en-GB" w:eastAsia="en-US" w:bidi="ar-SA"/>
    </w:rPr>
  </w:style>
  <w:style w:type="paragraph" w:customStyle="1" w:styleId="73">
    <w:name w:val="EX"/>
    <w:basedOn w:val="1"/>
    <w:qFormat/>
    <w:uiPriority w:val="0"/>
    <w:pPr>
      <w:keepLines/>
      <w:ind w:left="1702" w:hanging="1418"/>
    </w:pPr>
  </w:style>
  <w:style w:type="paragraph" w:customStyle="1" w:styleId="74">
    <w:name w:val="Comments"/>
    <w:basedOn w:val="1"/>
    <w:qFormat/>
    <w:uiPriority w:val="0"/>
    <w:pPr>
      <w:widowControl/>
      <w:spacing w:before="40" w:beforeLines="0"/>
      <w:jc w:val="left"/>
    </w:pPr>
    <w:rPr>
      <w:rFonts w:ascii="Arial" w:hAnsi="Arial" w:eastAsia="MS Mincho"/>
      <w:i/>
      <w:kern w:val="0"/>
      <w:sz w:val="18"/>
      <w:lang w:val="en-GB" w:eastAsia="en-GB"/>
    </w:rPr>
  </w:style>
  <w:style w:type="paragraph" w:customStyle="1" w:styleId="75">
    <w:name w:val="TAC"/>
    <w:basedOn w:val="63"/>
    <w:link w:val="160"/>
    <w:qFormat/>
    <w:uiPriority w:val="0"/>
    <w:pPr>
      <w:jc w:val="center"/>
    </w:pPr>
  </w:style>
  <w:style w:type="paragraph" w:customStyle="1" w:styleId="76">
    <w:name w:val="Char Char Char Char Char Char1 Char Char Char Char Char Char Char Char Char Char Char Char Char Char Char Char Char Char1"/>
    <w:basedOn w:val="1"/>
    <w:qFormat/>
    <w:uiPriority w:val="0"/>
    <w:pPr>
      <w:widowControl w:val="0"/>
      <w:spacing w:after="0"/>
      <w:jc w:val="both"/>
    </w:pPr>
    <w:rPr>
      <w:kern w:val="2"/>
      <w:sz w:val="21"/>
      <w:szCs w:val="24"/>
      <w:lang w:val="en-US" w:eastAsia="zh-CN"/>
    </w:rPr>
  </w:style>
  <w:style w:type="paragraph" w:customStyle="1" w:styleId="77">
    <w:name w:val="TAH"/>
    <w:basedOn w:val="75"/>
    <w:link w:val="144"/>
    <w:qFormat/>
    <w:uiPriority w:val="0"/>
    <w:rPr>
      <w:b/>
    </w:rPr>
  </w:style>
  <w:style w:type="paragraph" w:customStyle="1" w:styleId="78">
    <w:name w:val="text intend 2"/>
    <w:basedOn w:val="79"/>
    <w:qFormat/>
    <w:uiPriority w:val="0"/>
    <w:pPr>
      <w:widowControl/>
      <w:numPr>
        <w:ilvl w:val="0"/>
        <w:numId w:val="3"/>
      </w:numPr>
      <w:spacing w:after="120"/>
    </w:pPr>
    <w:rPr>
      <w:rFonts w:eastAsia="MS Mincho"/>
      <w:lang w:val="en-US"/>
    </w:rPr>
  </w:style>
  <w:style w:type="paragraph" w:customStyle="1" w:styleId="79">
    <w:name w:val="text"/>
    <w:basedOn w:val="1"/>
    <w:qFormat/>
    <w:uiPriority w:val="0"/>
    <w:pPr>
      <w:widowControl w:val="0"/>
      <w:spacing w:after="240"/>
      <w:jc w:val="both"/>
    </w:pPr>
    <w:rPr>
      <w:sz w:val="24"/>
      <w:lang w:val="en-AU"/>
    </w:rPr>
  </w:style>
  <w:style w:type="paragraph" w:customStyle="1" w:styleId="80">
    <w:name w:val="Char"/>
    <w:basedOn w:val="29"/>
    <w:qFormat/>
    <w:uiPriority w:val="0"/>
    <w:pPr>
      <w:widowControl w:val="0"/>
      <w:adjustRightInd w:val="0"/>
      <w:spacing w:after="0" w:line="436" w:lineRule="exact"/>
      <w:ind w:left="357"/>
      <w:outlineLvl w:val="3"/>
    </w:pPr>
    <w:rPr>
      <w:b/>
      <w:kern w:val="2"/>
      <w:sz w:val="24"/>
      <w:szCs w:val="24"/>
      <w:lang w:val="en-US" w:eastAsia="zh-CN"/>
    </w:rPr>
  </w:style>
  <w:style w:type="paragraph" w:customStyle="1" w:styleId="81">
    <w:name w:val="TAN"/>
    <w:basedOn w:val="63"/>
    <w:qFormat/>
    <w:uiPriority w:val="0"/>
    <w:pPr>
      <w:ind w:left="851" w:hanging="851"/>
    </w:pPr>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US" w:eastAsia="en-US" w:bidi="ar-SA"/>
    </w:rPr>
  </w:style>
  <w:style w:type="paragraph" w:customStyle="1" w:styleId="83">
    <w:name w:val="Reference"/>
    <w:basedOn w:val="73"/>
    <w:qFormat/>
    <w:uiPriority w:val="0"/>
    <w:pPr>
      <w:numPr>
        <w:ilvl w:val="0"/>
        <w:numId w:val="4"/>
      </w:numPr>
    </w:pPr>
  </w:style>
  <w:style w:type="paragraph" w:customStyle="1" w:styleId="84">
    <w:name w:val="TAL Char Char"/>
    <w:basedOn w:val="1"/>
    <w:link w:val="142"/>
    <w:qFormat/>
    <w:uiPriority w:val="0"/>
    <w:pPr>
      <w:keepNext/>
      <w:keepLines/>
      <w:overflowPunct w:val="0"/>
      <w:autoSpaceDE w:val="0"/>
      <w:autoSpaceDN w:val="0"/>
      <w:adjustRightInd w:val="0"/>
      <w:spacing w:after="0"/>
      <w:textAlignment w:val="baseline"/>
    </w:pPr>
    <w:rPr>
      <w:rFonts w:ascii="Arial" w:hAnsi="Arial"/>
      <w:sz w:val="18"/>
      <w:lang w:eastAsia="ja-JP"/>
    </w:rPr>
  </w:style>
  <w:style w:type="paragraph" w:styleId="85">
    <w:name w:val="List Paragraph"/>
    <w:basedOn w:val="1"/>
    <w:qFormat/>
    <w:uiPriority w:val="34"/>
    <w:pPr>
      <w:ind w:firstLine="420" w:firstLineChars="200"/>
    </w:pPr>
  </w:style>
  <w:style w:type="paragraph" w:customStyle="1" w:styleId="86">
    <w:name w:val="References"/>
    <w:basedOn w:val="1"/>
    <w:qFormat/>
    <w:uiPriority w:val="0"/>
    <w:pPr>
      <w:numPr>
        <w:ilvl w:val="0"/>
        <w:numId w:val="5"/>
      </w:numPr>
      <w:spacing w:after="80"/>
    </w:pPr>
    <w:rPr>
      <w:sz w:val="18"/>
      <w:lang w:val="en-US"/>
    </w:rPr>
  </w:style>
  <w:style w:type="paragraph" w:customStyle="1" w:styleId="87">
    <w:name w:val="TabList"/>
    <w:basedOn w:val="1"/>
    <w:qFormat/>
    <w:uiPriority w:val="0"/>
    <w:pPr>
      <w:tabs>
        <w:tab w:val="left" w:pos="1134"/>
      </w:tabs>
      <w:spacing w:after="0"/>
    </w:pPr>
    <w:rPr>
      <w:rFonts w:eastAsia="MS Mincho"/>
    </w:rPr>
  </w:style>
  <w:style w:type="paragraph" w:customStyle="1" w:styleId="88">
    <w:name w:val="text intend 3"/>
    <w:basedOn w:val="79"/>
    <w:qFormat/>
    <w:uiPriority w:val="0"/>
    <w:pPr>
      <w:widowControl/>
      <w:numPr>
        <w:ilvl w:val="0"/>
        <w:numId w:val="6"/>
      </w:numPr>
      <w:spacing w:after="120"/>
    </w:pPr>
    <w:rPr>
      <w:rFonts w:eastAsia="MS Mincho"/>
      <w:lang w:val="en-US"/>
    </w:rPr>
  </w:style>
  <w:style w:type="paragraph" w:customStyle="1" w:styleId="89">
    <w:name w:val="Überschrift 1.H1"/>
    <w:basedOn w:val="1"/>
    <w:next w:val="1"/>
    <w:qFormat/>
    <w:uiPriority w:val="0"/>
    <w:pPr>
      <w:keepNext/>
      <w:keepLines/>
      <w:numPr>
        <w:ilvl w:val="0"/>
        <w:numId w:val="7"/>
      </w:numPr>
      <w:pBdr>
        <w:top w:val="single" w:color="auto" w:sz="12" w:space="3"/>
      </w:pBdr>
      <w:spacing w:before="240"/>
      <w:outlineLvl w:val="0"/>
    </w:pPr>
    <w:rPr>
      <w:rFonts w:ascii="Arial" w:hAnsi="Arial"/>
      <w:sz w:val="36"/>
      <w:lang w:eastAsia="de-DE"/>
    </w:rPr>
  </w:style>
  <w:style w:type="paragraph" w:customStyle="1" w:styleId="90">
    <w:name w:val="NO"/>
    <w:basedOn w:val="1"/>
    <w:link w:val="141"/>
    <w:qFormat/>
    <w:uiPriority w:val="0"/>
    <w:pPr>
      <w:keepLines/>
      <w:ind w:left="1135" w:hanging="851"/>
    </w:pPr>
  </w:style>
  <w:style w:type="paragraph" w:customStyle="1" w:styleId="91">
    <w:name w:val="normal puce"/>
    <w:basedOn w:val="1"/>
    <w:qFormat/>
    <w:uiPriority w:val="0"/>
    <w:pPr>
      <w:widowControl w:val="0"/>
      <w:numPr>
        <w:ilvl w:val="0"/>
        <w:numId w:val="8"/>
      </w:numPr>
      <w:spacing w:before="60" w:after="60"/>
      <w:jc w:val="both"/>
    </w:pPr>
    <w:rPr>
      <w:rFonts w:eastAsia="MS Mincho"/>
    </w:rPr>
  </w:style>
  <w:style w:type="paragraph" w:customStyle="1" w:styleId="92">
    <w:name w:val="First Change"/>
    <w:basedOn w:val="1"/>
    <w:qFormat/>
    <w:uiPriority w:val="0"/>
    <w:pPr>
      <w:jc w:val="center"/>
    </w:pPr>
    <w:rPr>
      <w:color w:val="FF0000"/>
    </w:rPr>
  </w:style>
  <w:style w:type="paragraph" w:customStyle="1" w:styleId="93">
    <w:name w:val="CR Cover Page"/>
    <w:link w:val="157"/>
    <w:qFormat/>
    <w:uiPriority w:val="0"/>
    <w:pPr>
      <w:spacing w:after="120"/>
    </w:pPr>
    <w:rPr>
      <w:rFonts w:ascii="Arial" w:hAnsi="Arial" w:eastAsia="宋体" w:cs="Times New Roman"/>
      <w:lang w:val="en-GB" w:eastAsia="en-US" w:bidi="ar-SA"/>
    </w:rPr>
  </w:style>
  <w:style w:type="paragraph" w:customStyle="1" w:styleId="94">
    <w:name w:val="Editor's Note"/>
    <w:basedOn w:val="90"/>
    <w:link w:val="152"/>
    <w:qFormat/>
    <w:uiPriority w:val="0"/>
    <w:rPr>
      <w:color w:val="FF0000"/>
    </w:rPr>
  </w:style>
  <w:style w:type="paragraph" w:customStyle="1" w:styleId="95">
    <w:name w:val="centered"/>
    <w:basedOn w:val="1"/>
    <w:qFormat/>
    <w:uiPriority w:val="0"/>
    <w:pPr>
      <w:widowControl w:val="0"/>
      <w:spacing w:before="120" w:after="0" w:line="280" w:lineRule="atLeast"/>
      <w:jc w:val="center"/>
    </w:pPr>
    <w:rPr>
      <w:rFonts w:ascii="Bookman" w:hAnsi="Bookman"/>
      <w:lang w:val="en-US"/>
    </w:rPr>
  </w:style>
  <w:style w:type="paragraph" w:customStyle="1" w:styleId="96">
    <w:name w:val="List Paragraph1"/>
    <w:basedOn w:val="1"/>
    <w:qFormat/>
    <w:uiPriority w:val="34"/>
    <w:pPr>
      <w:ind w:left="720"/>
      <w:contextualSpacing/>
    </w:pPr>
  </w:style>
  <w:style w:type="paragraph" w:customStyle="1" w:styleId="97">
    <w:name w:val="MTDisplayEquation"/>
    <w:basedOn w:val="1"/>
    <w:qFormat/>
    <w:uiPriority w:val="0"/>
    <w:pPr>
      <w:tabs>
        <w:tab w:val="center" w:pos="4820"/>
        <w:tab w:val="right" w:pos="9640"/>
      </w:tabs>
    </w:pPr>
  </w:style>
  <w:style w:type="paragraph" w:customStyle="1" w:styleId="98">
    <w:name w:val="ZV"/>
    <w:basedOn w:val="99"/>
    <w:qFormat/>
    <w:uiPriority w:val="0"/>
    <w:pPr>
      <w:framePr w:y="16161"/>
    </w:p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US" w:eastAsia="en-US" w:bidi="ar-SA"/>
    </w:rPr>
  </w:style>
  <w:style w:type="paragraph" w:customStyle="1" w:styleId="100">
    <w:name w:val="Body"/>
    <w:basedOn w:val="1"/>
    <w:qFormat/>
    <w:uiPriority w:val="0"/>
    <w:pPr>
      <w:spacing w:before="80" w:after="80" w:line="288" w:lineRule="auto"/>
      <w:ind w:firstLine="420" w:firstLineChars="200"/>
    </w:pPr>
    <w:rPr>
      <w:sz w:val="21"/>
      <w:szCs w:val="21"/>
      <w:lang w:val="en-US" w:eastAsia="zh-CN"/>
    </w:rPr>
  </w:style>
  <w:style w:type="paragraph" w:customStyle="1" w:styleId="101">
    <w:name w:val="TAR"/>
    <w:basedOn w:val="63"/>
    <w:qFormat/>
    <w:uiPriority w:val="0"/>
    <w:pPr>
      <w:jc w:val="right"/>
    </w:pPr>
  </w:style>
  <w:style w:type="paragraph" w:customStyle="1" w:styleId="102">
    <w:name w:val="Char Char6"/>
    <w:basedOn w:val="1"/>
    <w:qFormat/>
    <w:uiPriority w:val="0"/>
    <w:pPr>
      <w:widowControl w:val="0"/>
      <w:spacing w:after="0"/>
      <w:jc w:val="both"/>
    </w:pPr>
    <w:rPr>
      <w:kern w:val="2"/>
      <w:sz w:val="21"/>
      <w:szCs w:val="24"/>
      <w:lang w:val="en-US" w:eastAsia="zh-CN"/>
    </w:rPr>
  </w:style>
  <w:style w:type="paragraph" w:customStyle="1" w:styleId="103">
    <w:name w:val="TT"/>
    <w:basedOn w:val="2"/>
    <w:next w:val="1"/>
    <w:qFormat/>
    <w:uiPriority w:val="0"/>
    <w:pPr>
      <w:outlineLvl w:val="9"/>
    </w:pPr>
  </w:style>
  <w:style w:type="paragraph" w:customStyle="1" w:styleId="104">
    <w:name w:val="text intend 1"/>
    <w:basedOn w:val="79"/>
    <w:qFormat/>
    <w:uiPriority w:val="0"/>
    <w:pPr>
      <w:widowControl/>
      <w:numPr>
        <w:ilvl w:val="0"/>
        <w:numId w:val="9"/>
      </w:numPr>
      <w:spacing w:after="120"/>
    </w:pPr>
    <w:rPr>
      <w:rFonts w:eastAsia="MS Mincho"/>
      <w:lang w:val="en-US"/>
    </w:rPr>
  </w:style>
  <w:style w:type="paragraph" w:customStyle="1" w:styleId="105">
    <w:name w:val="para"/>
    <w:basedOn w:val="1"/>
    <w:qFormat/>
    <w:uiPriority w:val="0"/>
    <w:pPr>
      <w:spacing w:after="240"/>
      <w:jc w:val="both"/>
    </w:pPr>
    <w:rPr>
      <w:rFonts w:ascii="Helvetica" w:hAnsi="Helvetica"/>
    </w:rPr>
  </w:style>
  <w:style w:type="paragraph" w:customStyle="1" w:styleId="106">
    <w:name w:val="Char Char Char Char Char Char1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07">
    <w:name w:val="EQ"/>
    <w:basedOn w:val="1"/>
    <w:next w:val="1"/>
    <w:qFormat/>
    <w:uiPriority w:val="0"/>
    <w:pPr>
      <w:keepLines/>
      <w:tabs>
        <w:tab w:val="center" w:pos="4536"/>
        <w:tab w:val="right" w:pos="9072"/>
      </w:tabs>
    </w:pPr>
  </w:style>
  <w:style w:type="paragraph" w:customStyle="1" w:styleId="108">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109">
    <w:name w:val="EW"/>
    <w:basedOn w:val="73"/>
    <w:qFormat/>
    <w:uiPriority w:val="0"/>
    <w:pPr>
      <w:spacing w:after="0"/>
    </w:pPr>
  </w:style>
  <w:style w:type="paragraph" w:customStyle="1" w:styleId="110">
    <w:name w:val="NF"/>
    <w:basedOn w:val="90"/>
    <w:qFormat/>
    <w:uiPriority w:val="0"/>
    <w:pPr>
      <w:keepNext/>
      <w:spacing w:after="0"/>
    </w:pPr>
    <w:rPr>
      <w:rFonts w:ascii="Arial" w:hAnsi="Arial"/>
      <w:sz w:val="18"/>
    </w:rPr>
  </w:style>
  <w:style w:type="paragraph" w:customStyle="1" w:styleId="111">
    <w:name w:val="NW"/>
    <w:basedOn w:val="90"/>
    <w:qFormat/>
    <w:uiPriority w:val="0"/>
    <w:pPr>
      <w:spacing w:after="0"/>
    </w:pPr>
  </w:style>
  <w:style w:type="paragraph" w:customStyle="1" w:styleId="112">
    <w:name w:val="ZH"/>
    <w:qFormat/>
    <w:uiPriority w:val="0"/>
    <w:pPr>
      <w:framePr w:wrap="notBeside" w:vAnchor="page" w:hAnchor="margin" w:xAlign="center" w:y="6805"/>
      <w:widowControl w:val="0"/>
    </w:pPr>
    <w:rPr>
      <w:rFonts w:ascii="Arial" w:hAnsi="Arial" w:eastAsia="宋体" w:cs="Times New Roman"/>
      <w:lang w:val="en-US" w:eastAsia="en-US" w:bidi="ar-SA"/>
    </w:rPr>
  </w:style>
  <w:style w:type="paragraph" w:customStyle="1" w:styleId="113">
    <w:name w:val="LD"/>
    <w:qFormat/>
    <w:uiPriority w:val="0"/>
    <w:pPr>
      <w:keepNext/>
      <w:keepLines/>
      <w:spacing w:line="180" w:lineRule="exact"/>
    </w:pPr>
    <w:rPr>
      <w:rFonts w:ascii="Courier New" w:hAnsi="Courier New" w:eastAsia="宋体" w:cs="Times New Roman"/>
      <w:lang w:val="en-US" w:eastAsia="en-US" w:bidi="ar-SA"/>
    </w:rPr>
  </w:style>
  <w:style w:type="paragraph" w:customStyle="1" w:styleId="114">
    <w:name w:val="_Style 3"/>
    <w:basedOn w:val="1"/>
    <w:qFormat/>
    <w:uiPriority w:val="34"/>
    <w:pPr>
      <w:overflowPunct/>
      <w:autoSpaceDE/>
      <w:autoSpaceDN/>
      <w:adjustRightInd/>
      <w:spacing w:after="0"/>
      <w:ind w:left="720"/>
      <w:textAlignment w:val="auto"/>
    </w:pPr>
    <w:rPr>
      <w:rFonts w:ascii="Calibri" w:hAnsi="Calibri" w:eastAsia="Calibri"/>
      <w:sz w:val="22"/>
      <w:szCs w:val="22"/>
    </w:rPr>
  </w:style>
  <w:style w:type="paragraph" w:customStyle="1" w:styleId="115">
    <w:name w:val="table text"/>
    <w:basedOn w:val="1"/>
    <w:next w:val="65"/>
    <w:qFormat/>
    <w:uiPriority w:val="0"/>
    <w:pPr>
      <w:spacing w:after="0"/>
    </w:pPr>
    <w:rPr>
      <w:rFonts w:eastAsia="MS Mincho"/>
      <w:i/>
    </w:rPr>
  </w:style>
  <w:style w:type="paragraph" w:customStyle="1" w:styleId="11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17">
    <w:name w:val="Doc-title"/>
    <w:basedOn w:val="1"/>
    <w:next w:val="118"/>
    <w:qFormat/>
    <w:uiPriority w:val="0"/>
    <w:pPr>
      <w:spacing w:before="60"/>
      <w:ind w:left="1259" w:hanging="1259"/>
    </w:pPr>
  </w:style>
  <w:style w:type="paragraph" w:customStyle="1" w:styleId="118">
    <w:name w:val="Doc-text2"/>
    <w:basedOn w:val="1"/>
    <w:link w:val="159"/>
    <w:qFormat/>
    <w:uiPriority w:val="0"/>
    <w:pPr>
      <w:tabs>
        <w:tab w:val="left" w:pos="1622"/>
      </w:tabs>
      <w:spacing w:after="0"/>
      <w:ind w:left="1622" w:hanging="363"/>
    </w:pPr>
    <w:rPr>
      <w:rFonts w:ascii="Arial" w:hAnsi="Arial" w:eastAsia="MS Mincho"/>
      <w:szCs w:val="24"/>
      <w:lang w:eastAsia="en-GB"/>
    </w:rPr>
  </w:style>
  <w:style w:type="paragraph" w:customStyle="1" w:styleId="119">
    <w:name w:val="00 BodyText"/>
    <w:basedOn w:val="1"/>
    <w:qFormat/>
    <w:uiPriority w:val="0"/>
    <w:pPr>
      <w:widowControl w:val="0"/>
      <w:spacing w:after="220"/>
      <w:jc w:val="both"/>
    </w:pPr>
    <w:rPr>
      <w:rFonts w:ascii="Arial" w:hAnsi="Arial"/>
      <w:kern w:val="2"/>
      <w:sz w:val="22"/>
      <w:szCs w:val="24"/>
      <w:lang w:val="en-US" w:eastAsia="zh-CN"/>
    </w:r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US" w:eastAsia="en-US" w:bidi="ar-SA"/>
    </w:rPr>
  </w:style>
  <w:style w:type="paragraph" w:customStyle="1" w:styleId="121">
    <w:name w:val="B2"/>
    <w:basedOn w:val="13"/>
    <w:link w:val="158"/>
    <w:qFormat/>
    <w:uiPriority w:val="0"/>
  </w:style>
  <w:style w:type="paragraph" w:customStyle="1" w:styleId="12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23">
    <w:name w:val="Char Char Char Char Char Char Char Char Char Char Char Char Char Char Char Char Char Char1 Char Char Char Char Char Char"/>
    <w:basedOn w:val="1"/>
    <w:qFormat/>
    <w:uiPriority w:val="0"/>
    <w:pPr>
      <w:widowControl w:val="0"/>
      <w:spacing w:after="0"/>
      <w:jc w:val="both"/>
    </w:pPr>
    <w:rPr>
      <w:kern w:val="2"/>
      <w:sz w:val="21"/>
      <w:szCs w:val="24"/>
      <w:lang w:val="en-US" w:eastAsia="zh-CN"/>
    </w:rPr>
  </w:style>
  <w:style w:type="paragraph" w:customStyle="1" w:styleId="124">
    <w:name w:val="list"/>
    <w:basedOn w:val="1"/>
    <w:qFormat/>
    <w:uiPriority w:val="0"/>
    <w:pPr>
      <w:spacing w:before="120" w:after="0" w:line="280" w:lineRule="atLeast"/>
      <w:ind w:left="360" w:hanging="360"/>
      <w:jc w:val="both"/>
    </w:pPr>
    <w:rPr>
      <w:rFonts w:ascii="Bookman" w:hAnsi="Bookman"/>
      <w:lang w:val="en-US"/>
    </w:rPr>
  </w:style>
  <w:style w:type="paragraph" w:customStyle="1" w:styleId="125">
    <w:name w:val="B3"/>
    <w:basedOn w:val="12"/>
    <w:qFormat/>
    <w:uiPriority w:val="0"/>
  </w:style>
  <w:style w:type="paragraph" w:customStyle="1" w:styleId="126">
    <w:name w:val="B1"/>
    <w:basedOn w:val="14"/>
    <w:link w:val="138"/>
    <w:qFormat/>
    <w:uiPriority w:val="0"/>
  </w:style>
  <w:style w:type="paragraph" w:customStyle="1" w:styleId="127">
    <w:name w:val="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
    <w:name w:val="_Style 1"/>
    <w:basedOn w:val="1"/>
    <w:qFormat/>
    <w:uiPriority w:val="1"/>
    <w:pPr>
      <w:spacing w:after="0" w:line="240" w:lineRule="auto"/>
    </w:pPr>
    <w:rPr>
      <w:rFonts w:eastAsia="Calibri"/>
      <w:lang w:val="en-GB" w:eastAsia="en-GB"/>
    </w:rPr>
  </w:style>
  <w:style w:type="paragraph" w:customStyle="1" w:styleId="129">
    <w:name w:val="ZD"/>
    <w:qFormat/>
    <w:uiPriority w:val="0"/>
    <w:pPr>
      <w:framePr w:wrap="notBeside" w:vAnchor="page" w:hAnchor="margin" w:y="15764"/>
      <w:widowControl w:val="0"/>
    </w:pPr>
    <w:rPr>
      <w:rFonts w:ascii="Arial" w:hAnsi="Arial" w:eastAsia="宋体" w:cs="Times New Roman"/>
      <w:sz w:val="32"/>
      <w:lang w:val="en-US" w:eastAsia="en-US" w:bidi="ar-SA"/>
    </w:rPr>
  </w:style>
  <w:style w:type="paragraph" w:customStyle="1" w:styleId="130">
    <w:name w:val="_Style 128"/>
    <w:semiHidden/>
    <w:qFormat/>
    <w:uiPriority w:val="99"/>
    <w:rPr>
      <w:rFonts w:ascii="Times New Roman" w:hAnsi="Times New Roman" w:eastAsia="宋体" w:cs="Times New Roman"/>
      <w:lang w:val="en-GB" w:eastAsia="en-US" w:bidi="ar-SA"/>
    </w:rPr>
  </w:style>
  <w:style w:type="paragraph" w:customStyle="1" w:styleId="131">
    <w:name w:val="FP"/>
    <w:basedOn w:val="1"/>
    <w:qFormat/>
    <w:uiPriority w:val="0"/>
    <w:pPr>
      <w:spacing w:after="0"/>
    </w:pPr>
  </w:style>
  <w:style w:type="paragraph" w:customStyle="1" w:styleId="132">
    <w:name w:val="HE"/>
    <w:basedOn w:val="1"/>
    <w:qFormat/>
    <w:uiPriority w:val="0"/>
    <w:pPr>
      <w:spacing w:after="0"/>
    </w:pPr>
    <w:rPr>
      <w:rFonts w:eastAsia="MS Mincho"/>
      <w:b/>
    </w:rPr>
  </w:style>
  <w:style w:type="paragraph" w:customStyle="1" w:styleId="133">
    <w:name w:val="CR_front"/>
    <w:qFormat/>
    <w:uiPriority w:val="0"/>
    <w:rPr>
      <w:rFonts w:ascii="Arial" w:hAnsi="Arial" w:eastAsia="宋体" w:cs="Times New Roman"/>
      <w:lang w:val="en-GB" w:eastAsia="en-US" w:bidi="ar-SA"/>
    </w:rPr>
  </w:style>
  <w:style w:type="paragraph" w:customStyle="1" w:styleId="134">
    <w:name w:val="Carattere Carattere Char Char Carattere Carattere Char Char Char Carattere Carattere"/>
    <w:basedOn w:val="1"/>
    <w:qFormat/>
    <w:uiPriority w:val="0"/>
    <w:pPr>
      <w:widowControl w:val="0"/>
      <w:spacing w:after="0"/>
      <w:jc w:val="both"/>
    </w:pPr>
    <w:rPr>
      <w:rFonts w:ascii="Arial" w:hAnsi="Arial" w:cs="Arial"/>
      <w:color w:val="0000FF"/>
      <w:kern w:val="2"/>
      <w:lang w:val="en-US" w:eastAsia="zh-CN"/>
    </w:rPr>
  </w:style>
  <w:style w:type="paragraph" w:customStyle="1" w:styleId="135">
    <w:name w:val="Proposal"/>
    <w:basedOn w:val="1"/>
    <w:qFormat/>
    <w:uiPriority w:val="0"/>
    <w:pPr>
      <w:numPr>
        <w:ilvl w:val="0"/>
        <w:numId w:val="10"/>
      </w:numPr>
      <w:tabs>
        <w:tab w:val="left" w:pos="1701"/>
      </w:tabs>
    </w:pPr>
    <w:rPr>
      <w:b/>
      <w:bCs/>
    </w:rPr>
  </w:style>
  <w:style w:type="paragraph" w:customStyle="1" w:styleId="136">
    <w:name w:val="B4"/>
    <w:basedOn w:val="44"/>
    <w:qFormat/>
    <w:uiPriority w:val="0"/>
  </w:style>
  <w:style w:type="character" w:customStyle="1" w:styleId="137">
    <w:name w:val="superscript"/>
    <w:basedOn w:val="53"/>
    <w:qFormat/>
    <w:uiPriority w:val="0"/>
    <w:rPr>
      <w:rFonts w:ascii="Bookman" w:hAnsi="Bookman"/>
      <w:position w:val="6"/>
      <w:sz w:val="18"/>
    </w:rPr>
  </w:style>
  <w:style w:type="character" w:customStyle="1" w:styleId="138">
    <w:name w:val="B1 Char1"/>
    <w:basedOn w:val="53"/>
    <w:link w:val="126"/>
    <w:qFormat/>
    <w:uiPriority w:val="0"/>
    <w:rPr>
      <w:rFonts w:eastAsia="宋体"/>
      <w:lang w:val="en-GB" w:eastAsia="en-US" w:bidi="ar-SA"/>
    </w:rPr>
  </w:style>
  <w:style w:type="character" w:customStyle="1" w:styleId="139">
    <w:name w:val="Guidance"/>
    <w:basedOn w:val="53"/>
    <w:qFormat/>
    <w:uiPriority w:val="0"/>
    <w:rPr>
      <w:i/>
      <w:color w:val="0000FF"/>
    </w:rPr>
  </w:style>
  <w:style w:type="character" w:customStyle="1" w:styleId="140">
    <w:name w:val="def"/>
    <w:basedOn w:val="53"/>
    <w:qFormat/>
    <w:uiPriority w:val="0"/>
  </w:style>
  <w:style w:type="character" w:customStyle="1" w:styleId="141">
    <w:name w:val="NO Char"/>
    <w:basedOn w:val="53"/>
    <w:link w:val="90"/>
    <w:qFormat/>
    <w:uiPriority w:val="0"/>
    <w:rPr>
      <w:rFonts w:eastAsia="宋体"/>
      <w:lang w:val="en-GB" w:eastAsia="en-US" w:bidi="ar-SA"/>
    </w:rPr>
  </w:style>
  <w:style w:type="character" w:customStyle="1" w:styleId="142">
    <w:name w:val="TAL Char Char Char"/>
    <w:basedOn w:val="53"/>
    <w:link w:val="84"/>
    <w:qFormat/>
    <w:uiPriority w:val="0"/>
    <w:rPr>
      <w:rFonts w:ascii="Arial" w:hAnsi="Arial" w:eastAsia="宋体"/>
      <w:sz w:val="18"/>
      <w:lang w:val="en-GB" w:eastAsia="ja-JP" w:bidi="ar-SA"/>
    </w:rPr>
  </w:style>
  <w:style w:type="character" w:customStyle="1" w:styleId="143">
    <w:name w:val="MTEquationSection"/>
    <w:basedOn w:val="53"/>
    <w:qFormat/>
    <w:uiPriority w:val="0"/>
    <w:rPr>
      <w:color w:val="FF0000"/>
      <w:lang w:eastAsia="en-US"/>
    </w:rPr>
  </w:style>
  <w:style w:type="character" w:customStyle="1" w:styleId="144">
    <w:name w:val="TAH Char"/>
    <w:basedOn w:val="53"/>
    <w:link w:val="77"/>
    <w:qFormat/>
    <w:uiPriority w:val="0"/>
    <w:rPr>
      <w:rFonts w:ascii="Arial" w:hAnsi="Arial"/>
      <w:b/>
      <w:sz w:val="18"/>
      <w:lang w:val="en-GB" w:eastAsia="en-US"/>
    </w:rPr>
  </w:style>
  <w:style w:type="character" w:customStyle="1" w:styleId="145">
    <w:name w:val="ZGSM"/>
    <w:qFormat/>
    <w:uiPriority w:val="0"/>
  </w:style>
  <w:style w:type="character" w:customStyle="1" w:styleId="146">
    <w:name w:val="TAL Car"/>
    <w:basedOn w:val="53"/>
    <w:qFormat/>
    <w:uiPriority w:val="0"/>
    <w:rPr>
      <w:rFonts w:ascii="Arial" w:hAnsi="Arial" w:eastAsia="宋体"/>
      <w:sz w:val="18"/>
      <w:lang w:val="en-GB" w:eastAsia="en-US" w:bidi="ar-SA"/>
    </w:rPr>
  </w:style>
  <w:style w:type="character" w:customStyle="1" w:styleId="147">
    <w:name w:val="TF Char"/>
    <w:basedOn w:val="53"/>
    <w:link w:val="61"/>
    <w:qFormat/>
    <w:uiPriority w:val="0"/>
    <w:rPr>
      <w:rFonts w:ascii="Arial" w:hAnsi="Arial" w:eastAsia="宋体"/>
      <w:b/>
      <w:lang w:val="en-GB" w:eastAsia="en-US" w:bidi="ar-SA"/>
    </w:rPr>
  </w:style>
  <w:style w:type="character" w:customStyle="1" w:styleId="148">
    <w:name w:val="列表 2 Char"/>
    <w:basedOn w:val="149"/>
    <w:link w:val="13"/>
    <w:qFormat/>
    <w:uiPriority w:val="0"/>
  </w:style>
  <w:style w:type="character" w:customStyle="1" w:styleId="149">
    <w:name w:val="列表 Char"/>
    <w:basedOn w:val="53"/>
    <w:link w:val="14"/>
    <w:qFormat/>
    <w:uiPriority w:val="0"/>
    <w:rPr>
      <w:lang w:val="en-GB" w:eastAsia="en-US" w:bidi="ar-SA"/>
    </w:rPr>
  </w:style>
  <w:style w:type="character" w:customStyle="1" w:styleId="150">
    <w:name w:val="标题 8 Char"/>
    <w:basedOn w:val="151"/>
    <w:link w:val="10"/>
    <w:qFormat/>
    <w:uiPriority w:val="0"/>
  </w:style>
  <w:style w:type="character" w:customStyle="1" w:styleId="151">
    <w:name w:val="标题 1 Char"/>
    <w:basedOn w:val="53"/>
    <w:link w:val="2"/>
    <w:qFormat/>
    <w:uiPriority w:val="0"/>
    <w:rPr>
      <w:rFonts w:ascii="Arial" w:hAnsi="Arial"/>
      <w:sz w:val="36"/>
      <w:lang w:val="en-GB" w:eastAsia="en-US" w:bidi="ar-SA"/>
    </w:rPr>
  </w:style>
  <w:style w:type="character" w:customStyle="1" w:styleId="152">
    <w:name w:val="Editor's Note Char"/>
    <w:link w:val="94"/>
    <w:qFormat/>
    <w:uiPriority w:val="0"/>
    <w:rPr>
      <w:rFonts w:ascii="Times New Roman" w:hAnsi="Times New Roman"/>
      <w:color w:val="FF0000"/>
      <w:lang w:val="en-GB" w:eastAsia="en-US"/>
    </w:rPr>
  </w:style>
  <w:style w:type="character" w:customStyle="1" w:styleId="153">
    <w:name w:val="B1 Zchn"/>
    <w:basedOn w:val="53"/>
    <w:qFormat/>
    <w:uiPriority w:val="0"/>
    <w:rPr>
      <w:rFonts w:ascii="Arial" w:hAnsi="Arial" w:eastAsia="MS Mincho" w:cs="Arial"/>
      <w:color w:val="0000FF"/>
      <w:kern w:val="2"/>
      <w:lang w:val="en-GB" w:eastAsia="en-US" w:bidi="ar-SA"/>
    </w:rPr>
  </w:style>
  <w:style w:type="character" w:customStyle="1" w:styleId="154">
    <w:name w:val="TAL Char"/>
    <w:basedOn w:val="53"/>
    <w:link w:val="63"/>
    <w:qFormat/>
    <w:uiPriority w:val="0"/>
    <w:rPr>
      <w:rFonts w:ascii="Arial" w:hAnsi="Arial"/>
      <w:sz w:val="18"/>
      <w:lang w:val="en-GB" w:eastAsia="en-US"/>
    </w:rPr>
  </w:style>
  <w:style w:type="character" w:customStyle="1" w:styleId="155">
    <w:name w:val="批注文字 Char"/>
    <w:basedOn w:val="53"/>
    <w:link w:val="30"/>
    <w:semiHidden/>
    <w:qFormat/>
    <w:uiPriority w:val="0"/>
    <w:rPr>
      <w:rFonts w:ascii="Times New Roman" w:hAnsi="Times New Roman"/>
      <w:lang w:eastAsia="en-US"/>
    </w:rPr>
  </w:style>
  <w:style w:type="character" w:customStyle="1" w:styleId="156">
    <w:name w:val="via1"/>
    <w:basedOn w:val="53"/>
    <w:qFormat/>
    <w:uiPriority w:val="0"/>
    <w:rPr>
      <w:color w:val="959595"/>
    </w:rPr>
  </w:style>
  <w:style w:type="character" w:customStyle="1" w:styleId="157">
    <w:name w:val="CR Cover Page Zchn"/>
    <w:link w:val="93"/>
    <w:qFormat/>
    <w:uiPriority w:val="0"/>
    <w:rPr>
      <w:rFonts w:ascii="Arial" w:hAnsi="Arial"/>
      <w:lang w:val="en-GB" w:eastAsia="en-US" w:bidi="ar-SA"/>
    </w:rPr>
  </w:style>
  <w:style w:type="character" w:customStyle="1" w:styleId="158">
    <w:name w:val="B2 Char"/>
    <w:link w:val="121"/>
    <w:qFormat/>
    <w:locked/>
    <w:uiPriority w:val="0"/>
    <w:rPr>
      <w:rFonts w:ascii="Times New Roman" w:hAnsi="Times New Roman"/>
      <w:lang w:val="en-GB" w:eastAsia="en-US"/>
    </w:rPr>
  </w:style>
  <w:style w:type="character" w:customStyle="1" w:styleId="159">
    <w:name w:val="Doc-text2 Char"/>
    <w:basedOn w:val="53"/>
    <w:link w:val="118"/>
    <w:qFormat/>
    <w:uiPriority w:val="0"/>
    <w:rPr>
      <w:rFonts w:ascii="Arial" w:hAnsi="Arial" w:eastAsia="MS Mincho"/>
      <w:szCs w:val="24"/>
      <w:lang w:val="en-GB" w:eastAsia="en-GB" w:bidi="ar-SA"/>
    </w:rPr>
  </w:style>
  <w:style w:type="character" w:customStyle="1" w:styleId="160">
    <w:name w:val="TAC Char"/>
    <w:basedOn w:val="154"/>
    <w:link w:val="75"/>
    <w:qFormat/>
    <w:uiPriority w:val="0"/>
  </w:style>
  <w:style w:type="character" w:customStyle="1" w:styleId="161">
    <w:name w:val="列表项目符号 Char"/>
    <w:basedOn w:val="149"/>
    <w:link w:val="27"/>
    <w:qFormat/>
    <w:uiPriority w:val="0"/>
  </w:style>
  <w:style w:type="character" w:customStyle="1" w:styleId="162">
    <w:name w:val="TH Char"/>
    <w:link w:val="62"/>
    <w:qFormat/>
    <w:uiPriority w:val="0"/>
    <w:rPr>
      <w:rFonts w:ascii="Arial" w:hAnsi="Arial"/>
      <w:b/>
      <w:lang w:val="en-GB" w:eastAsia="en-US"/>
    </w:rPr>
  </w:style>
  <w:style w:type="character" w:customStyle="1" w:styleId="163">
    <w:name w:val="批注主题 Char"/>
    <w:basedOn w:val="155"/>
    <w:link w:val="50"/>
    <w:qFormat/>
    <w:uiPriority w:val="0"/>
  </w:style>
  <w:style w:type="character" w:customStyle="1" w:styleId="164">
    <w:name w:val="列表项目符号 2 Char"/>
    <w:basedOn w:val="161"/>
    <w:link w:val="26"/>
    <w:qFormat/>
    <w:uiPriority w:val="0"/>
  </w:style>
  <w:style w:type="character" w:customStyle="1" w:styleId="165">
    <w:name w:val="列表项目符号 3 Char"/>
    <w:basedOn w:val="164"/>
    <w:link w:val="25"/>
    <w:qFormat/>
    <w:uiPriority w:val="0"/>
  </w:style>
  <w:style w:type="character" w:customStyle="1" w:styleId="166">
    <w:name w:val="PL Char"/>
    <w:basedOn w:val="53"/>
    <w:link w:val="69"/>
    <w:qFormat/>
    <w:uiPriority w:val="0"/>
    <w:rPr>
      <w:rFonts w:ascii="Courier New" w:hAnsi="Courier New"/>
      <w:sz w:val="16"/>
      <w:lang w:val="en-US" w:eastAsia="en-US" w:bidi="ar-SA"/>
    </w:rPr>
  </w:style>
  <w:style w:type="character" w:customStyle="1" w:styleId="167">
    <w:name w:val="首标题"/>
    <w:qFormat/>
    <w:uiPriority w:val="0"/>
    <w:rPr>
      <w:rFonts w:ascii="Arial" w:hAnsi="Arial" w:eastAsia="宋体"/>
      <w:sz w:val="24"/>
      <w:lang w:val="en-US" w:eastAsia="zh-CN" w:bidi="ar-SA"/>
    </w:rPr>
  </w:style>
  <w:style w:type="paragraph" w:customStyle="1" w:styleId="168">
    <w:name w:val="tal"/>
    <w:basedOn w:val="1"/>
    <w:qFormat/>
    <w:uiPriority w:val="0"/>
    <w:pPr>
      <w:spacing w:before="100" w:beforeAutospacing="1" w:after="100" w:afterAutospacing="1"/>
    </w:pPr>
    <w:rPr>
      <w:rFonts w:eastAsia="宋体"/>
      <w:sz w:val="24"/>
      <w:szCs w:val="24"/>
      <w:lang w:val="en-US"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Memo</Template>
  <Company>ZTE</Company>
  <Pages>3</Pages>
  <Words>747</Words>
  <Characters>4264</Characters>
  <Lines>35</Lines>
  <Paragraphs>10</Paragraphs>
  <TotalTime>4</TotalTime>
  <ScaleCrop>false</ScaleCrop>
  <LinksUpToDate>false</LinksUpToDate>
  <CharactersWithSpaces>5001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2017-06-16T08:48:00Z</dcterms:created>
  <dc:creator>GY</dc:creator>
  <cp:lastModifiedBy>ZTE</cp:lastModifiedBy>
  <cp:lastPrinted>2007-07-31T23:26:00Z</cp:lastPrinted>
  <dcterms:modified xsi:type="dcterms:W3CDTF">2021-10-22T06:34:29Z</dcterms:modified>
  <dc:title>TSG-RAN Working Group 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2052-11.8.2.9022</vt:lpwstr>
  </property>
</Properties>
</file>